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1A72FB" w14:textId="77777777">
      <w:pPr>
        <w:spacing w:after="0"/>
        <w:jc w:val="center"/>
      </w:pPr>
      <w:r>
        <w:rPr>
          <w:noProof/>
        </w:rPr>
        <w:drawing>
          <wp:inline distT="0" distB="0" distL="0" distR="0" wp14:anchorId="5015F436" wp14:editId="75468F76">
            <wp:extent cx="6405400" cy="9052560"/>
            <wp:effectExtent l="0" t="0" r="0" b="0"/>
            <wp:docPr id="1" name="Picture 1" descr="Chapter 10 infographic, page 1 of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ernal_recurrence_a_study_guid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5400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FB9DBC6" w14:textId="77777777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2EFA8586" wp14:editId="5BE12F7C">
            <wp:extent cx="6405400" cy="9052560"/>
            <wp:effectExtent l="0" t="0" r="0" b="0"/>
            <wp:docPr id="2" name="Picture 2" descr="Chapter 10 infographic, page 2 of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etzsche_s_cosmic_thought_and_recurren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5400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8313DE8" w14:textId="77777777">
      <w:pPr>
        <w:spacing w:after="0"/>
        <w:jc w:val="center"/>
      </w:pPr>
      <w:r>
        <w:rPr>
          <w:noProof/>
        </w:rPr>
        <w:drawing>
          <wp:inline distT="0" distB="0" distL="0" distR="0" wp14:anchorId="68E77EA9" wp14:editId="13F318B3">
            <wp:extent cx="6405400" cy="9052560"/>
            <wp:effectExtent l="0" t="0" r="0" b="0"/>
            <wp:docPr id="3" name="Picture 3" descr="Chapter 10 infographic, page 3 of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pter_10_eternal_recurrence_study_gui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5400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420B43D" w14:textId="77777777">
      <w:pPr>
        <w:spacing w:after="0"/>
        <w:jc w:val="center"/>
      </w:pPr>
      <w:r>
        <w:rPr>
          <w:b/>
          <w:color w:val="D9A441"/>
          <w:sz w:val="32"/>
        </w:rPr>
        <w:t>READING COMPANION GUIDE</w:t>
      </w:r>
    </w:p>
    <w:p w14:paraId="65AF6286" w14:textId="77777777">
      <w:pPr>
        <w:spacing w:before="20" w:after="0"/>
        <w:jc w:val="center"/>
      </w:pPr>
      <w:r>
        <w:rPr>
          <w:b/>
          <w:color w:val="0F6B73"/>
          <w:sz w:val="28"/>
        </w:rPr>
        <w:t>Safranski on Nietzsche — Chapter 10</w:t>
      </w:r>
    </w:p>
    <w:p w14:paraId="14638AC5" w14:textId="77777777">
      <w:pPr>
        <w:spacing w:before="20" w:after="40"/>
        <w:jc w:val="center"/>
      </w:pPr>
      <w:r>
        <w:rPr>
          <w:rFonts w:ascii="Noto Serif" w:eastAsia="Noto Serif" w:hAnsi="Noto Serif"/>
          <w:b/>
          <w:color w:val="17324D"/>
          <w:sz w:val="42"/>
        </w:rPr>
        <w:t>Eternal Recurrence and The Gay Science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2782"/>
        <w:gridCol w:w="2783"/>
        <w:gridCol w:w="2783"/>
      </w:tblGrid>
      <w:tr w14:paraId="6124DB53" w14:textId="77777777">
        <w:trPr>
          <w:jc w:val="center"/>
        </w:trPr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7324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CF641C" w14:textId="77777777">
            <w:pPr>
              <w:spacing w:after="0"/>
              <w:jc w:val="center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F6B73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405705" w14:textId="77777777">
            <w:pPr>
              <w:spacing w:after="0"/>
              <w:jc w:val="center"/>
            </w:pPr>
            <w:r>
              <w:rPr>
                <w:b/>
                <w:color w:val="FFFFFF"/>
              </w:rPr>
              <w:t>PLACES</w:t>
            </w:r>
          </w:p>
        </w:tc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A2E3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573448" w14:textId="77777777">
            <w:pPr>
              <w:spacing w:after="0"/>
              <w:jc w:val="center"/>
            </w:pPr>
            <w:r>
              <w:rPr>
                <w:b/>
                <w:color w:val="FFFFFF"/>
              </w:rPr>
              <w:t>CENTRAL IDEA</w:t>
            </w:r>
          </w:p>
        </w:tc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65558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7D8359" w14:textId="77777777">
            <w:pPr>
              <w:spacing w:after="0"/>
              <w:jc w:val="center"/>
            </w:pPr>
            <w:r>
              <w:rPr>
                <w:b/>
                <w:color w:val="FFFFFF"/>
              </w:rPr>
              <w:t>EMOTIONAL RHYTHM</w:t>
            </w:r>
          </w:p>
        </w:tc>
      </w:tr>
      <w:tr w14:paraId="6E08F692" w14:textId="77777777">
        <w:trPr>
          <w:jc w:val="center"/>
        </w:trPr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EF7"/>
            <w:tcMar>
              <w:top w:w="38" w:type="dxa"/>
              <w:left w:w="60" w:type="dxa"/>
              <w:bottom w:w="38" w:type="dxa"/>
              <w:right w:w="60" w:type="dxa"/>
            </w:tcMar>
          </w:tcPr>
          <w:p w14:paraId="5DFEF1DE" w14:textId="77777777">
            <w:pPr>
              <w:spacing w:after="0"/>
              <w:jc w:val="center"/>
            </w:pPr>
            <w:r>
              <w:rPr>
                <w:b/>
              </w:rPr>
              <w:t>1881–1882</w:t>
            </w:r>
          </w:p>
        </w:tc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EEDF"/>
            <w:tcMar>
              <w:top w:w="38" w:type="dxa"/>
              <w:left w:w="60" w:type="dxa"/>
              <w:bottom w:w="38" w:type="dxa"/>
              <w:right w:w="60" w:type="dxa"/>
            </w:tcMar>
          </w:tcPr>
          <w:p w14:paraId="1891AF03" w14:textId="77777777">
            <w:pPr>
              <w:spacing w:after="0"/>
              <w:jc w:val="center"/>
            </w:pPr>
            <w:r>
              <w:rPr>
                <w:b/>
              </w:rPr>
              <w:t>Sils-Maria • Genoa • Messina</w:t>
            </w:r>
          </w:p>
        </w:tc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DADF"/>
            <w:tcMar>
              <w:top w:w="38" w:type="dxa"/>
              <w:left w:w="60" w:type="dxa"/>
              <w:bottom w:w="38" w:type="dxa"/>
              <w:right w:w="60" w:type="dxa"/>
            </w:tcMar>
          </w:tcPr>
          <w:p w14:paraId="27F3C601" w14:textId="77777777">
            <w:pPr>
              <w:spacing w:after="0"/>
              <w:jc w:val="center"/>
            </w:pPr>
            <w:r>
              <w:rPr>
                <w:b/>
              </w:rPr>
              <w:t>The recurrence of the same</w:t>
            </w:r>
          </w:p>
        </w:tc>
        <w:tc>
          <w:tcPr>
            <w:tcW w:w="2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8E1F2"/>
            <w:tcMar>
              <w:top w:w="38" w:type="dxa"/>
              <w:left w:w="60" w:type="dxa"/>
              <w:bottom w:w="38" w:type="dxa"/>
              <w:right w:w="60" w:type="dxa"/>
            </w:tcMar>
          </w:tcPr>
          <w:p w14:paraId="4DFFEBE1" w14:textId="77777777">
            <w:pPr>
              <w:spacing w:after="0"/>
              <w:jc w:val="center"/>
            </w:pPr>
            <w:r>
              <w:rPr>
                <w:b/>
              </w:rPr>
              <w:t>Ecstasy joined to suffering</w:t>
            </w:r>
          </w:p>
        </w:tc>
      </w:tr>
    </w:tbl>
    <w:p w14:paraId="68E82517" w14:textId="77777777">
      <w:pPr>
        <w:spacing w:before="20"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24"/>
        <w:gridCol w:w="2224"/>
        <w:gridCol w:w="2226"/>
        <w:gridCol w:w="2225"/>
        <w:gridCol w:w="2225"/>
      </w:tblGrid>
      <w:tr w14:paraId="15CF9F66" w14:textId="77777777">
        <w:trPr>
          <w:jc w:val="center"/>
        </w:trPr>
        <w:tc>
          <w:tcPr>
            <w:tcW w:w="2229" w:type="dxa"/>
            <w:tcBorders>
              <w:top w:val="single" w:sz="9" w:space="0" w:color="D9A441"/>
              <w:left w:val="single" w:sz="9" w:space="0" w:color="D9A441"/>
              <w:bottom w:val="single" w:sz="9" w:space="0" w:color="D9A441"/>
              <w:right w:val="single" w:sz="9" w:space="0" w:color="D9A441"/>
            </w:tcBorders>
            <w:shd w:val="clear" w:color="auto" w:fill="F7E9C6"/>
            <w:tcMar>
              <w:top w:w="35" w:type="dxa"/>
              <w:left w:w="42" w:type="dxa"/>
              <w:bottom w:w="35" w:type="dxa"/>
              <w:right w:w="42" w:type="dxa"/>
            </w:tcMar>
          </w:tcPr>
          <w:p w14:paraId="2CE3CC55" w14:textId="77777777">
            <w:pPr>
              <w:spacing w:after="0"/>
              <w:jc w:val="center"/>
            </w:pPr>
            <w:r>
              <w:rPr>
                <w:b/>
                <w:color w:val="D9A441"/>
              </w:rPr>
              <w:t>1. Older sources</w:t>
            </w:r>
          </w:p>
        </w:tc>
        <w:tc>
          <w:tcPr>
            <w:tcW w:w="2229" w:type="dxa"/>
            <w:tcBorders>
              <w:top w:val="single" w:sz="9" w:space="0" w:color="2A6F97"/>
              <w:left w:val="single" w:sz="9" w:space="0" w:color="2A6F97"/>
              <w:bottom w:val="single" w:sz="9" w:space="0" w:color="2A6F97"/>
              <w:right w:val="single" w:sz="9" w:space="0" w:color="2A6F97"/>
            </w:tcBorders>
            <w:shd w:val="clear" w:color="auto" w:fill="D9EEF7"/>
            <w:tcMar>
              <w:top w:w="35" w:type="dxa"/>
              <w:left w:w="42" w:type="dxa"/>
              <w:bottom w:w="35" w:type="dxa"/>
              <w:right w:w="42" w:type="dxa"/>
            </w:tcMar>
          </w:tcPr>
          <w:p w14:paraId="3A229EB6" w14:textId="77777777">
            <w:pPr>
              <w:spacing w:after="0"/>
              <w:jc w:val="center"/>
            </w:pPr>
            <w:r>
              <w:rPr>
                <w:b/>
                <w:color w:val="2A6F97"/>
              </w:rPr>
              <w:t>2. Cosmic thinking</w:t>
            </w:r>
          </w:p>
        </w:tc>
        <w:tc>
          <w:tcPr>
            <w:tcW w:w="2229" w:type="dxa"/>
            <w:tcBorders>
              <w:top w:val="single" w:sz="9" w:space="0" w:color="3E7C59"/>
              <w:left w:val="single" w:sz="9" w:space="0" w:color="3E7C59"/>
              <w:bottom w:val="single" w:sz="9" w:space="0" w:color="3E7C59"/>
              <w:right w:val="single" w:sz="9" w:space="0" w:color="3E7C59"/>
            </w:tcBorders>
            <w:shd w:val="clear" w:color="auto" w:fill="DDEEDF"/>
            <w:tcMar>
              <w:top w:w="35" w:type="dxa"/>
              <w:left w:w="42" w:type="dxa"/>
              <w:bottom w:w="35" w:type="dxa"/>
              <w:right w:w="42" w:type="dxa"/>
            </w:tcMar>
          </w:tcPr>
          <w:p w14:paraId="5D2F910B" w14:textId="77777777">
            <w:pPr>
              <w:spacing w:after="0"/>
              <w:jc w:val="center"/>
            </w:pPr>
            <w:r>
              <w:rPr>
                <w:b/>
                <w:color w:val="3E7C59"/>
              </w:rPr>
              <w:t>3. Dehumanized nature</w:t>
            </w:r>
          </w:p>
        </w:tc>
        <w:tc>
          <w:tcPr>
            <w:tcW w:w="2229" w:type="dxa"/>
            <w:tcBorders>
              <w:top w:val="single" w:sz="9" w:space="0" w:color="7A2E3A"/>
              <w:left w:val="single" w:sz="9" w:space="0" w:color="7A2E3A"/>
              <w:bottom w:val="single" w:sz="9" w:space="0" w:color="7A2E3A"/>
              <w:right w:val="single" w:sz="9" w:space="0" w:color="7A2E3A"/>
            </w:tcBorders>
            <w:shd w:val="clear" w:color="auto" w:fill="F3DADF"/>
            <w:tcMar>
              <w:top w:w="35" w:type="dxa"/>
              <w:left w:w="42" w:type="dxa"/>
              <w:bottom w:w="35" w:type="dxa"/>
              <w:right w:w="42" w:type="dxa"/>
            </w:tcMar>
          </w:tcPr>
          <w:p w14:paraId="04DC468A" w14:textId="77777777">
            <w:pPr>
              <w:spacing w:after="0"/>
              <w:jc w:val="center"/>
            </w:pPr>
            <w:r>
              <w:rPr>
                <w:b/>
                <w:color w:val="7A2E3A"/>
              </w:rPr>
              <w:t>4. Eternal recurrence</w:t>
            </w:r>
          </w:p>
        </w:tc>
        <w:tc>
          <w:tcPr>
            <w:tcW w:w="2229" w:type="dxa"/>
            <w:tcBorders>
              <w:top w:val="single" w:sz="9" w:space="0" w:color="65558F"/>
              <w:left w:val="single" w:sz="9" w:space="0" w:color="65558F"/>
              <w:bottom w:val="single" w:sz="9" w:space="0" w:color="65558F"/>
              <w:right w:val="single" w:sz="9" w:space="0" w:color="65558F"/>
            </w:tcBorders>
            <w:shd w:val="clear" w:color="auto" w:fill="E8E1F2"/>
            <w:tcMar>
              <w:top w:w="35" w:type="dxa"/>
              <w:left w:w="42" w:type="dxa"/>
              <w:bottom w:w="35" w:type="dxa"/>
              <w:right w:w="42" w:type="dxa"/>
            </w:tcMar>
          </w:tcPr>
          <w:p w14:paraId="118AD30F" w14:textId="77777777">
            <w:pPr>
              <w:spacing w:after="0"/>
              <w:jc w:val="center"/>
            </w:pPr>
            <w:r>
              <w:rPr>
                <w:b/>
                <w:color w:val="65558F"/>
              </w:rPr>
              <w:t>5. Joyful knowledge</w:t>
            </w:r>
          </w:p>
        </w:tc>
      </w:tr>
    </w:tbl>
    <w:p w14:paraId="5922C154" w14:textId="77777777">
      <w:pPr>
        <w:spacing w:before="20" w:after="20"/>
        <w:jc w:val="center"/>
      </w:pPr>
      <w:r>
        <w:rPr>
          <w:i/>
          <w:color w:val="A9B1B7"/>
        </w:rPr>
        <w:t>Based on the photographed selections from Chapter 10, pages 223–244.</w:t>
      </w:r>
    </w:p>
    <w:p w14:paraId="255F92FA" w14:textId="77777777">
      <w:pPr>
        <w:sectPr>
          <w:footerReference w:type="default" r:id="rId11"/>
          <w:pgSz w:w="12240" w:h="15840"/>
          <w:pgMar w:top="490" w:right="547" w:bottom="547" w:left="547" w:header="230" w:footer="259" w:gutter="0"/>
          <w:cols w:space="360"/>
          <w:docGrid w:linePitch="360"/>
        </w:sectPr>
      </w:pPr>
    </w:p>
    <w:p w14:paraId="5E964408" w14:textId="77777777">
      <w:pPr>
        <w:keepNext/>
        <w:pBdr>
          <w:top w:val="single" w:sz="6" w:space="2" w:color="0F6B73"/>
          <w:left w:val="single" w:sz="6" w:space="2" w:color="0F6B73"/>
          <w:bottom w:val="single" w:sz="6" w:space="2" w:color="0F6B73"/>
          <w:right w:val="single" w:sz="6" w:space="2" w:color="0F6B73"/>
        </w:pBdr>
        <w:shd w:val="clear" w:color="auto" w:fill="0F6B73"/>
        <w:spacing w:before="20" w:after="20"/>
        <w:ind w:left="29" w:right="29"/>
      </w:pPr>
      <w:r>
        <w:rPr>
          <w:b/>
          <w:color w:val="FFFFFF"/>
          <w:sz w:val="26"/>
        </w:rPr>
        <w:t xml:space="preserve"> 1. Central Meaning of the Chapter </w:t>
      </w:r>
    </w:p>
    <w:p w14:paraId="45BCBE1F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This chapter presents one of the decisive turning points in Nietzsche’s life: the summer of 1881, when the idea of eternal recurrence became emotionally and philosophically overwhelming for him.</w:t>
      </w:r>
    </w:p>
    <w:p w14:paraId="74D69595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idea was not entirely new. What was new was its force. An old theory of cyclical time suddenly became a personal revelation that Nietzsche believed could transform how a human being lives.</w:t>
      </w:r>
    </w:p>
    <w:p w14:paraId="67356BAA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Safranski connects three movements: stripping nature of human meaning, constructing a cosmic theory of repetition, and discovering a new kind of joyful, experimental philosophy in The Gay Science.</w:t>
      </w:r>
    </w:p>
    <w:p w14:paraId="0770403D" w14:textId="77777777">
      <w:pPr>
        <w:keepLines/>
        <w:pBdr>
          <w:top w:val="single" w:sz="8" w:space="2" w:color="D9A441"/>
          <w:left w:val="single" w:sz="8" w:space="2" w:color="D9A441"/>
          <w:bottom w:val="single" w:sz="8" w:space="2" w:color="D9A441"/>
          <w:right w:val="single" w:sz="8" w:space="2" w:color="D9A441"/>
        </w:pBdr>
        <w:shd w:val="clear" w:color="auto" w:fill="F7E9C6"/>
        <w:spacing w:before="10"/>
        <w:ind w:left="43" w:right="43"/>
      </w:pPr>
      <w:r>
        <w:rPr>
          <w:b/>
          <w:color w:val="D9A441"/>
        </w:rPr>
        <w:t xml:space="preserve"> THE CHAPTER’S BIG QUESTION</w:t>
      </w:r>
      <w:r>
        <w:rPr>
          <w:b/>
          <w:color w:val="D9A441"/>
        </w:rPr>
        <w:br/>
        <w:t xml:space="preserve"> • </w:t>
      </w:r>
      <w:r>
        <w:t>Can a person affirm life so completely that he would willingly live every detail again—forever?</w:t>
      </w:r>
      <w:r>
        <w:rPr>
          <w:b/>
          <w:color w:val="D9A441"/>
        </w:rPr>
        <w:br/>
        <w:t xml:space="preserve"> • </w:t>
      </w:r>
      <w:r>
        <w:t xml:space="preserve">Can joy survive after God, purpose, and metaphysical consolation have been removed from the universe? </w:t>
      </w:r>
    </w:p>
    <w:p w14:paraId="785D11B7" w14:textId="77777777">
      <w:pPr>
        <w:keepNext/>
        <w:pBdr>
          <w:top w:val="single" w:sz="6" w:space="2" w:color="17324D"/>
          <w:left w:val="single" w:sz="6" w:space="2" w:color="17324D"/>
          <w:bottom w:val="single" w:sz="6" w:space="2" w:color="17324D"/>
          <w:right w:val="single" w:sz="6" w:space="2" w:color="17324D"/>
        </w:pBdr>
        <w:shd w:val="clear" w:color="auto" w:fill="17324D"/>
        <w:spacing w:before="20" w:after="20"/>
        <w:ind w:left="29" w:right="29"/>
      </w:pPr>
      <w:r>
        <w:rPr>
          <w:b/>
          <w:color w:val="FFFFFF"/>
          <w:sz w:val="26"/>
        </w:rPr>
        <w:t xml:space="preserve"> 2. The Idea Was Both Ancient and Personal </w:t>
      </w:r>
    </w:p>
    <w:p w14:paraId="257D841B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Cyclical time already appeared in Indic traditions, among the pre-Socratics and Pythagoreans, and in the Dionysian myth of a god who dies and is reborn.</w:t>
      </w:r>
    </w:p>
    <w:p w14:paraId="5B41C59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had encountered these ideas as a schoolboy. His 1862 essay “Fate and History” compared time to a cosmic clock whose movement begins again after completing its cycle.</w:t>
      </w:r>
    </w:p>
    <w:p w14:paraId="054529A4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Birth of Tragedy also spoke of an eternal core of existence beneath the continual destruction of individual forms.</w:t>
      </w:r>
    </w:p>
    <w:p w14:paraId="495B2383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Safranski therefore suggests that Nietzsche did not simply invent eternal recurrence in 1881. He “re-originated” it: familiar materials suddenly became a life-changing insight.</w:t>
      </w:r>
    </w:p>
    <w:p w14:paraId="486E3580" w14:textId="77777777">
      <w:pPr>
        <w:keepNext/>
        <w:pBdr>
          <w:top w:val="single" w:sz="6" w:space="2" w:color="2A6F97"/>
          <w:left w:val="single" w:sz="6" w:space="2" w:color="2A6F97"/>
          <w:bottom w:val="single" w:sz="6" w:space="2" w:color="2A6F97"/>
          <w:right w:val="single" w:sz="6" w:space="2" w:color="2A6F97"/>
        </w:pBdr>
        <w:shd w:val="clear" w:color="auto" w:fill="2A6F97"/>
        <w:spacing w:before="20" w:after="20"/>
        <w:ind w:left="29" w:right="29"/>
      </w:pPr>
      <w:r>
        <w:rPr>
          <w:b/>
          <w:color w:val="FFFFFF"/>
          <w:sz w:val="26"/>
        </w:rPr>
        <w:t xml:space="preserve"> 3. Schopenhauer and the Image of “Eternal Noon” </w:t>
      </w:r>
    </w:p>
    <w:p w14:paraId="47075255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Schopenhauer imagined time as an endlessly revolving sphere while the present remains an indestructible “Now.”</w:t>
      </w:r>
    </w:p>
    <w:p w14:paraId="7EEE50C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Safranski explains this with a geometric image: the present is like a fixed tangent touching the moving circle of time at one point.</w:t>
      </w:r>
    </w:p>
    <w:p w14:paraId="179D001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Human beings are part of the turning wheel because we live in time; yet in awareness and attention we also experience the persistent present.</w:t>
      </w:r>
    </w:p>
    <w:p w14:paraId="7D183AB4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later carried the images of noon, eternity, and the great noon into Thus Spoke Zarathustra.</w:t>
      </w:r>
    </w:p>
    <w:p w14:paraId="259103E1" w14:textId="77777777">
      <w:pPr>
        <w:keepNext/>
        <w:pBdr>
          <w:top w:val="single" w:sz="6" w:space="2" w:color="65558F"/>
          <w:left w:val="single" w:sz="6" w:space="2" w:color="65558F"/>
          <w:bottom w:val="single" w:sz="6" w:space="2" w:color="65558F"/>
          <w:right w:val="single" w:sz="6" w:space="2" w:color="65558F"/>
        </w:pBdr>
        <w:shd w:val="clear" w:color="auto" w:fill="65558F"/>
        <w:spacing w:before="20" w:after="20"/>
        <w:ind w:left="29" w:right="29"/>
      </w:pPr>
      <w:r>
        <w:rPr>
          <w:b/>
          <w:color w:val="FFFFFF"/>
          <w:sz w:val="26"/>
        </w:rPr>
        <w:t xml:space="preserve"> 4. “Go Beyond Me and You”: Thinking Cosmically </w:t>
      </w:r>
    </w:p>
    <w:p w14:paraId="474E8536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became dissatisfied with ordinary perspectivism. He wanted to escape the “fantastic ego” and experience existence on a cosmic level.</w:t>
      </w:r>
    </w:p>
    <w:p w14:paraId="2A59447B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This did not mean adopting a polite consensus or looking through many human eyes. He wanted to move beyond the entire human-centered framework.</w:t>
      </w:r>
    </w:p>
    <w:p w14:paraId="3DA4F0AF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He also rejected the comforting picture of the universe as a living organism, a divine whole, or a cosmic womb. Such images merely smuggle God back into nature.</w:t>
      </w:r>
    </w:p>
    <w:p w14:paraId="7BB246C8" w14:textId="77777777">
      <w:pPr>
        <w:keepLines/>
        <w:pBdr>
          <w:top w:val="single" w:sz="8" w:space="2" w:color="65558F"/>
          <w:left w:val="single" w:sz="8" w:space="2" w:color="65558F"/>
          <w:bottom w:val="single" w:sz="8" w:space="2" w:color="65558F"/>
          <w:right w:val="single" w:sz="8" w:space="2" w:color="65558F"/>
        </w:pBdr>
        <w:shd w:val="clear" w:color="auto" w:fill="E8E1F2"/>
        <w:spacing w:before="10"/>
        <w:ind w:left="43" w:right="43"/>
      </w:pPr>
      <w:r>
        <w:rPr>
          <w:b/>
          <w:color w:val="65558F"/>
        </w:rPr>
        <w:t xml:space="preserve"> IMPORTANT DISTINCTION</w:t>
      </w:r>
      <w:r>
        <w:rPr>
          <w:b/>
          <w:color w:val="65558F"/>
        </w:rPr>
        <w:br/>
        <w:t xml:space="preserve"> • </w:t>
      </w:r>
      <w:r>
        <w:t>Cosmic thinking is not mystical union with a universal soul.</w:t>
      </w:r>
      <w:r>
        <w:rPr>
          <w:b/>
          <w:color w:val="65558F"/>
        </w:rPr>
        <w:br/>
        <w:t xml:space="preserve"> • </w:t>
      </w:r>
      <w:r>
        <w:t xml:space="preserve">It is an effort to encounter the universe without projecting human purpose, morality, personality, or comfort onto it. </w:t>
      </w:r>
    </w:p>
    <w:p w14:paraId="0152655D" w14:textId="77777777">
      <w:pPr>
        <w:keepNext/>
        <w:pBdr>
          <w:top w:val="single" w:sz="6" w:space="2" w:color="3E7C59"/>
          <w:left w:val="single" w:sz="6" w:space="2" w:color="3E7C59"/>
          <w:bottom w:val="single" w:sz="6" w:space="2" w:color="3E7C59"/>
          <w:right w:val="single" w:sz="6" w:space="2" w:color="3E7C59"/>
        </w:pBdr>
        <w:shd w:val="clear" w:color="auto" w:fill="3E7C59"/>
        <w:spacing w:before="20" w:after="20"/>
        <w:ind w:left="29" w:right="29"/>
      </w:pPr>
      <w:r>
        <w:rPr>
          <w:b/>
          <w:color w:val="FFFFFF"/>
          <w:sz w:val="26"/>
        </w:rPr>
        <w:t xml:space="preserve"> 5. Dehumanized Nature </w:t>
      </w:r>
    </w:p>
    <w:p w14:paraId="51075A4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tried to imagine nature as radically inorganic: cold, impersonal, purposeless, and without a privileged place for sentient life.</w:t>
      </w:r>
    </w:p>
    <w:p w14:paraId="221E55AB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stone becomes a symbol of this perspective. The organic world is temporary and exceptional; the inorganic realm is more basic and enduring.</w:t>
      </w:r>
    </w:p>
    <w:p w14:paraId="00C94F33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He suspected that feelings distort reality. Counting, measuring, and attending to material processes seemed to offer a way to reduce human projection.</w:t>
      </w:r>
    </w:p>
    <w:p w14:paraId="45F01558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Even thought and emotion were increasingly interpreted as symptoms of bodily and physiological processes rather than activities of an independent spirit.</w:t>
      </w:r>
    </w:p>
    <w:p w14:paraId="266FA53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His declared task was the “dehumanization of nature” and, in turn, the naturalization of humanity.</w:t>
      </w:r>
    </w:p>
    <w:p w14:paraId="24210E09" w14:textId="77777777">
      <w:pPr>
        <w:keepNext/>
        <w:pBdr>
          <w:top w:val="single" w:sz="6" w:space="2" w:color="7A2E3A"/>
          <w:left w:val="single" w:sz="6" w:space="2" w:color="7A2E3A"/>
          <w:bottom w:val="single" w:sz="6" w:space="2" w:color="7A2E3A"/>
          <w:right w:val="single" w:sz="6" w:space="2" w:color="7A2E3A"/>
        </w:pBdr>
        <w:shd w:val="clear" w:color="auto" w:fill="7A2E3A"/>
        <w:spacing w:before="20" w:after="20"/>
        <w:ind w:left="29" w:right="29"/>
      </w:pPr>
      <w:r>
        <w:rPr>
          <w:b/>
          <w:color w:val="FFFFFF"/>
          <w:sz w:val="26"/>
        </w:rPr>
        <w:t xml:space="preserve"> 6. From Conservation of Energy to Recurrence </w:t>
      </w:r>
    </w:p>
    <w:p w14:paraId="232442D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In 1881 Nietzsche read the natural scientist Julius Robert Mayer, whose work helped establish the principle of conservation of energy.</w:t>
      </w:r>
    </w:p>
    <w:p w14:paraId="412413B5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Mayer argued that energy changes form but does not disappear: heat may become motion, and material processes may be converted into one another while the total remains constant.</w:t>
      </w:r>
    </w:p>
    <w:p w14:paraId="2014E10B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supplied the further step. If the universe contains a finite quantity of force and a limited number of possible arrangements, but time is infinite, then every possible arrangement must recur.</w:t>
      </w:r>
    </w:p>
    <w:p w14:paraId="5C0A381D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Mayer himself did not derive eternal recurrence from conservation of energy. The recurrence argument was Nietzsche’s speculative extension.</w:t>
      </w:r>
    </w:p>
    <w:p w14:paraId="0F179791" w14:textId="77777777">
      <w:pPr>
        <w:keepLines/>
        <w:pBdr>
          <w:top w:val="single" w:sz="8" w:space="2" w:color="7A2E3A"/>
          <w:left w:val="single" w:sz="8" w:space="2" w:color="7A2E3A"/>
          <w:bottom w:val="single" w:sz="8" w:space="2" w:color="7A2E3A"/>
          <w:right w:val="single" w:sz="8" w:space="2" w:color="7A2E3A"/>
        </w:pBdr>
        <w:shd w:val="clear" w:color="auto" w:fill="F3DADF"/>
        <w:spacing w:before="10"/>
        <w:ind w:left="43" w:right="43"/>
      </w:pPr>
      <w:r>
        <w:rPr>
          <w:b/>
          <w:color w:val="7A2E3A"/>
        </w:rPr>
        <w:t xml:space="preserve"> NIETZSCHE’S PROPOSED COSMIC ARGUMENT</w:t>
      </w:r>
      <w:r>
        <w:rPr>
          <w:b/>
          <w:color w:val="7A2E3A"/>
        </w:rPr>
        <w:br/>
        <w:t xml:space="preserve"> • </w:t>
      </w:r>
      <w:r>
        <w:t>The quantity of force is finite.</w:t>
      </w:r>
      <w:r>
        <w:rPr>
          <w:b/>
          <w:color w:val="7A2E3A"/>
        </w:rPr>
        <w:br/>
        <w:t xml:space="preserve"> • </w:t>
      </w:r>
      <w:r>
        <w:t>The number of possible combinations is limited.</w:t>
      </w:r>
      <w:r>
        <w:rPr>
          <w:b/>
          <w:color w:val="7A2E3A"/>
        </w:rPr>
        <w:br/>
        <w:t xml:space="preserve"> • </w:t>
      </w:r>
      <w:r>
        <w:t>Time has no final endpoint.</w:t>
      </w:r>
      <w:r>
        <w:rPr>
          <w:b/>
          <w:color w:val="7A2E3A"/>
        </w:rPr>
        <w:br/>
        <w:t xml:space="preserve"> • </w:t>
      </w:r>
      <w:r>
        <w:t xml:space="preserve">Therefore every configuration—including this exact life—must return repeatedly. </w:t>
      </w:r>
    </w:p>
    <w:p w14:paraId="171E3FCA" w14:textId="77777777">
      <w:pPr>
        <w:keepNext/>
        <w:pBdr>
          <w:top w:val="single" w:sz="6" w:space="2" w:color="0F6B73"/>
          <w:left w:val="single" w:sz="6" w:space="2" w:color="0F6B73"/>
          <w:bottom w:val="single" w:sz="6" w:space="2" w:color="0F6B73"/>
          <w:right w:val="single" w:sz="6" w:space="2" w:color="0F6B73"/>
        </w:pBdr>
        <w:shd w:val="clear" w:color="auto" w:fill="0F6B73"/>
        <w:spacing w:before="20" w:after="20"/>
        <w:ind w:left="29" w:right="29"/>
      </w:pPr>
      <w:r>
        <w:rPr>
          <w:b/>
          <w:color w:val="FFFFFF"/>
          <w:sz w:val="26"/>
        </w:rPr>
        <w:t xml:space="preserve"> 7. Eternal Recurrence in Plain Language </w:t>
      </w:r>
    </w:p>
    <w:p w14:paraId="7E81DF0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Eternal recurrence is not simply the belief that history resembles itself or that similar events happen again.</w:t>
      </w:r>
    </w:p>
    <w:p w14:paraId="57551329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It means the recurrence of the same: each event, relationship, pain, pleasure, mistake, and decision returns in precisely the same form.</w:t>
      </w:r>
    </w:p>
    <w:p w14:paraId="75CCF803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It is not ordinary reincarnation. There is no separate soul moving into a new body; rather, the entire configuration of the world returns.</w:t>
      </w:r>
    </w:p>
    <w:p w14:paraId="53538F6A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There is no final goal, judgment, rescue, or permanent escape. The world does not progress toward a concluding state.</w:t>
      </w:r>
    </w:p>
    <w:p w14:paraId="47B1A6CE" w14:textId="77777777">
      <w:pPr>
        <w:keepNext/>
        <w:pBdr>
          <w:top w:val="single" w:sz="6" w:space="2" w:color="D9A441"/>
          <w:left w:val="single" w:sz="6" w:space="2" w:color="D9A441"/>
          <w:bottom w:val="single" w:sz="6" w:space="2" w:color="D9A441"/>
          <w:right w:val="single" w:sz="6" w:space="2" w:color="D9A441"/>
        </w:pBdr>
        <w:shd w:val="clear" w:color="auto" w:fill="D9A441"/>
        <w:spacing w:before="20" w:after="20"/>
        <w:ind w:left="29" w:right="29"/>
      </w:pPr>
      <w:r>
        <w:rPr>
          <w:b/>
          <w:color w:val="FFFFFF"/>
          <w:sz w:val="26"/>
        </w:rPr>
        <w:t xml:space="preserve"> 8. The Existential Test </w:t>
      </w:r>
    </w:p>
    <w:p w14:paraId="055909C0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real importance of recurrence is not the physics but the test it imposes on a life.</w:t>
      </w:r>
    </w:p>
    <w:p w14:paraId="43D7C738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How would you react if told that every moment must be lived again endlessly? Would the thought crush you, or could you welcome it?</w:t>
      </w:r>
    </w:p>
    <w:p w14:paraId="48027939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doctrine measures the depth of one’s affirmation. To will the recurrence of one’s life is to accept not only its joys but also its losses, humiliations, errors, and suffering.</w:t>
      </w:r>
    </w:p>
    <w:p w14:paraId="21F15D4B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This anticipates Nietzsche’s later ideal of affirming fate rather than seeking compensation in another world.</w:t>
      </w:r>
    </w:p>
    <w:p w14:paraId="4394DB11" w14:textId="77777777">
      <w:pPr>
        <w:keepLines/>
        <w:pBdr>
          <w:top w:val="single" w:sz="8" w:space="2" w:color="D9A441"/>
          <w:left w:val="single" w:sz="8" w:space="2" w:color="D9A441"/>
          <w:bottom w:val="single" w:sz="8" w:space="2" w:color="D9A441"/>
          <w:right w:val="single" w:sz="8" w:space="2" w:color="D9A441"/>
        </w:pBdr>
        <w:shd w:val="clear" w:color="auto" w:fill="F7E9C6"/>
        <w:spacing w:before="10"/>
        <w:ind w:left="43" w:right="43"/>
      </w:pPr>
      <w:r>
        <w:rPr>
          <w:b/>
          <w:color w:val="D9A441"/>
        </w:rPr>
        <w:t xml:space="preserve"> BOOK-CLUB THOUGHT EXPERIMENT</w:t>
      </w:r>
      <w:r>
        <w:rPr>
          <w:b/>
          <w:color w:val="D9A441"/>
        </w:rPr>
        <w:br/>
        <w:t xml:space="preserve"> • </w:t>
      </w:r>
      <w:r>
        <w:t>Choose one ordinary day of your life—not your best day. Would you consent to repeat it eternally?</w:t>
      </w:r>
      <w:r>
        <w:rPr>
          <w:b/>
          <w:color w:val="D9A441"/>
        </w:rPr>
        <w:br/>
        <w:t xml:space="preserve"> • </w:t>
      </w:r>
      <w:r>
        <w:t xml:space="preserve">What would need to change in the way you live today for your answer to become “yes”? </w:t>
      </w:r>
    </w:p>
    <w:p w14:paraId="40A4E654" w14:textId="77777777">
      <w:pPr>
        <w:keepNext/>
        <w:pBdr>
          <w:top w:val="single" w:sz="6" w:space="2" w:color="17324D"/>
          <w:left w:val="single" w:sz="6" w:space="2" w:color="17324D"/>
          <w:bottom w:val="single" w:sz="6" w:space="2" w:color="17324D"/>
          <w:right w:val="single" w:sz="6" w:space="2" w:color="17324D"/>
        </w:pBdr>
        <w:shd w:val="clear" w:color="auto" w:fill="17324D"/>
        <w:spacing w:before="20" w:after="20"/>
        <w:ind w:left="29" w:right="29"/>
      </w:pPr>
      <w:r>
        <w:rPr>
          <w:b/>
          <w:color w:val="FFFFFF"/>
          <w:sz w:val="26"/>
        </w:rPr>
        <w:t xml:space="preserve"> 9. Sils-Maria: Ecstasy Joined to Illness </w:t>
      </w:r>
    </w:p>
    <w:p w14:paraId="1125057A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associated his great inspiration with Sils-Maria in the Swiss Alps, near the boulder at Surlej.</w:t>
      </w:r>
    </w:p>
    <w:p w14:paraId="544FCE72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insight brought elation and “tears of joy,” but the same summer also brought severe headaches, nausea, stomach cramps, cold, and despair.</w:t>
      </w:r>
    </w:p>
    <w:p w14:paraId="14AFBCF0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Safranski emphasizes the double condition: philosophical rapture did not remove bodily torment. Nietzsche’s highest exhilaration and his physical misery occurred together.</w:t>
      </w:r>
    </w:p>
    <w:p w14:paraId="34F00EA4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Climate mattered greatly to him. He increasingly treated clear skies, dryness, warmth, and bodily well-being as conditions for thought itself.</w:t>
      </w:r>
    </w:p>
    <w:p w14:paraId="786E800B" w14:textId="77777777">
      <w:pPr>
        <w:keepNext/>
        <w:pBdr>
          <w:top w:val="single" w:sz="6" w:space="2" w:color="2A6F97"/>
          <w:left w:val="single" w:sz="6" w:space="2" w:color="2A6F97"/>
          <w:bottom w:val="single" w:sz="6" w:space="2" w:color="2A6F97"/>
          <w:right w:val="single" w:sz="6" w:space="2" w:color="2A6F97"/>
        </w:pBdr>
        <w:shd w:val="clear" w:color="auto" w:fill="2A6F97"/>
        <w:spacing w:before="20" w:after="20"/>
        <w:ind w:left="29" w:right="29"/>
      </w:pPr>
      <w:r>
        <w:rPr>
          <w:b/>
          <w:color w:val="FFFFFF"/>
          <w:sz w:val="26"/>
        </w:rPr>
        <w:t xml:space="preserve"> 10. Genoa and the “Holy January” </w:t>
      </w:r>
    </w:p>
    <w:p w14:paraId="4233175D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After the difficult summer, Nietzsche spent the winter of 1881–1882 in Genoa and experienced an unusually mild, bright, and restorative season.</w:t>
      </w:r>
    </w:p>
    <w:p w14:paraId="3D141DE2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He called January 1882 the most beautiful January of his life and named the fourth book of The Gay Science “Sanctus Januarius”—the holy January.</w:t>
      </w:r>
    </w:p>
    <w:p w14:paraId="47CB2B70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first four books of The Gay Science grew out of this recovered energy and incorporated the insights of the previous summer.</w:t>
      </w:r>
    </w:p>
    <w:p w14:paraId="584E3457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title points to a cheerful, free-spirited art of inquiry. “Gay” here means joyful, lively, and light-hearted—not a reference to sexual orientation.</w:t>
      </w:r>
    </w:p>
    <w:p w14:paraId="4B3AC07A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describes life as an experiment for the seeker of knowledge: dangerous, uncertain, but capable of being lived boldly and joyfully.</w:t>
      </w:r>
    </w:p>
    <w:p w14:paraId="27F6DE1D" w14:textId="77777777">
      <w:pPr>
        <w:keepNext/>
        <w:pBdr>
          <w:top w:val="single" w:sz="6" w:space="2" w:color="3E7C59"/>
          <w:left w:val="single" w:sz="6" w:space="2" w:color="3E7C59"/>
          <w:bottom w:val="single" w:sz="6" w:space="2" w:color="3E7C59"/>
          <w:right w:val="single" w:sz="6" w:space="2" w:color="3E7C59"/>
        </w:pBdr>
        <w:shd w:val="clear" w:color="auto" w:fill="3E7C59"/>
        <w:spacing w:before="20" w:after="20"/>
        <w:ind w:left="29" w:right="29"/>
      </w:pPr>
      <w:r>
        <w:rPr>
          <w:b/>
          <w:color w:val="FFFFFF"/>
          <w:sz w:val="26"/>
        </w:rPr>
        <w:t xml:space="preserve"> 11. Consciousness, Error, and “Incorporation” </w:t>
      </w:r>
    </w:p>
    <w:p w14:paraId="44B3D78D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regarded consciousness as a late and still-developing human capacity, not as the secure ruler of the organism.</w:t>
      </w:r>
    </w:p>
    <w:p w14:paraId="42610DF8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Consciousness frequently goes astray because older instincts developed long before reflective thought and continue to regulate life.</w:t>
      </w:r>
    </w:p>
    <w:p w14:paraId="2061C374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“Incorporation” means more than understanding an idea intellectually. Knowledge must enter the body, instincts, emotions, habits, and culture until it changes the way life is actually experienced.</w:t>
      </w:r>
    </w:p>
    <w:p w14:paraId="6194033E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We may intellectually accept that Earth moves around the sun and that humanity is cosmically temporary, yet emotionally we still behave as though the world revolves around us.</w:t>
      </w:r>
    </w:p>
    <w:p w14:paraId="064D5405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Safranski’s striking formulation is that modern people may be Copernicans in theory while remaining Ptolemaists in their lived sense of importance.</w:t>
      </w:r>
    </w:p>
    <w:p w14:paraId="5F9CE5E8" w14:textId="77777777">
      <w:pPr>
        <w:keepNext/>
        <w:pBdr>
          <w:top w:val="single" w:sz="6" w:space="2" w:color="65558F"/>
          <w:left w:val="single" w:sz="6" w:space="2" w:color="65558F"/>
          <w:bottom w:val="single" w:sz="6" w:space="2" w:color="65558F"/>
          <w:right w:val="single" w:sz="6" w:space="2" w:color="65558F"/>
        </w:pBdr>
        <w:shd w:val="clear" w:color="auto" w:fill="65558F"/>
        <w:spacing w:before="20" w:after="20"/>
        <w:ind w:left="29" w:right="29"/>
      </w:pPr>
      <w:r>
        <w:rPr>
          <w:b/>
          <w:color w:val="FFFFFF"/>
          <w:sz w:val="26"/>
        </w:rPr>
        <w:t xml:space="preserve"> 12. New Truths and the Struggle for Life </w:t>
      </w:r>
    </w:p>
    <w:p w14:paraId="212CE7EC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New knowledge creates a vortex: it disrupts familiar truths and inherited habits.</w:t>
      </w:r>
    </w:p>
    <w:p w14:paraId="52CA1F20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At first, a new insight may be dismissed as madness because it challenges the conditions under which a culture has learned to survive.</w:t>
      </w:r>
    </w:p>
    <w:p w14:paraId="2F18F906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A truth becomes historically powerful only when people can incorporate it—when it acquires enough strength to reorganize life.</w:t>
      </w:r>
    </w:p>
    <w:p w14:paraId="6C163252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This creates a paradox. Knowledge grows from instincts and life, yet a truth claim cannot be valid merely because it expresses an instinct.</w:t>
      </w:r>
    </w:p>
    <w:p w14:paraId="2A955725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therefore enters a “house of mirrors”: every explanation of truth seems to reflect back upon the instincts and perspectives of the person making it.</w:t>
      </w:r>
    </w:p>
    <w:p w14:paraId="3E3CFABC" w14:textId="77777777">
      <w:pPr>
        <w:keepNext/>
        <w:pBdr>
          <w:top w:val="single" w:sz="6" w:space="2" w:color="7A2E3A"/>
          <w:left w:val="single" w:sz="6" w:space="2" w:color="7A2E3A"/>
          <w:bottom w:val="single" w:sz="6" w:space="2" w:color="7A2E3A"/>
          <w:right w:val="single" w:sz="6" w:space="2" w:color="7A2E3A"/>
        </w:pBdr>
        <w:shd w:val="clear" w:color="auto" w:fill="7A2E3A"/>
        <w:spacing w:before="20" w:after="20"/>
        <w:ind w:left="29" w:right="29"/>
      </w:pPr>
      <w:r>
        <w:rPr>
          <w:b/>
          <w:color w:val="FFFFFF"/>
          <w:sz w:val="26"/>
        </w:rPr>
        <w:t xml:space="preserve"> 13. Prophet, Clown, and Self-Mockery </w:t>
      </w:r>
    </w:p>
    <w:p w14:paraId="446BE566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sensed that eternal recurrence was too extreme for ordinary philosophical presentation.</w:t>
      </w:r>
    </w:p>
    <w:p w14:paraId="7A4C517E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doctrine seemed suited to a prophet because it demanded conversion, but also to a clown because it could appear absurd, theatrical, or impossible to prove.</w:t>
      </w:r>
    </w:p>
    <w:p w14:paraId="5CDF4E00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Safranski portrays Nietzsche moving between solemnity and laughter, metaphysical intensity and self-mockery.</w:t>
      </w:r>
    </w:p>
    <w:p w14:paraId="7DC0402C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Gay Science does not eliminate the abyss beneath knowledge. It teaches a style of dancing, experimenting, and laughing while remaining aware of that abyss.</w:t>
      </w:r>
    </w:p>
    <w:p w14:paraId="536AC095" w14:textId="77777777">
      <w:pPr>
        <w:keepNext/>
        <w:pBdr>
          <w:top w:val="single" w:sz="6" w:space="2" w:color="0F6B73"/>
          <w:left w:val="single" w:sz="6" w:space="2" w:color="0F6B73"/>
          <w:bottom w:val="single" w:sz="6" w:space="2" w:color="0F6B73"/>
          <w:right w:val="single" w:sz="6" w:space="2" w:color="0F6B73"/>
        </w:pBdr>
        <w:shd w:val="clear" w:color="auto" w:fill="0F6B73"/>
        <w:spacing w:before="20" w:after="20"/>
        <w:ind w:left="29" w:right="29"/>
      </w:pPr>
      <w:r>
        <w:rPr>
          <w:b/>
          <w:color w:val="FFFFFF"/>
          <w:sz w:val="26"/>
        </w:rPr>
        <w:t xml:space="preserve"> 14. Messina, the South, and Carmen </w:t>
      </w:r>
    </w:p>
    <w:p w14:paraId="416B03D9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In spring 1882 Nietzsche unexpectedly sailed from Genoa to Messina, Sicily, traveling alone on a freighter.</w:t>
      </w:r>
    </w:p>
    <w:p w14:paraId="417F6F01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The journey south represented warmth, sensuality, gaiety, and liberation from the heaviness he associated with northern culture and Wagnerian solemnity.</w:t>
      </w:r>
    </w:p>
    <w:p w14:paraId="50D244AA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Hearing Bizet’s Carmen in Genoa helped intensify this fantasy of the Mediterranean south: rhythm, passion, fatalism, color, and bodily vitality.</w:t>
      </w:r>
    </w:p>
    <w:p w14:paraId="2DA11CA7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Nietzsche was delighted by Messina for several weeks, but the sirocco eventually drove him to Rome.</w:t>
      </w:r>
    </w:p>
    <w:p w14:paraId="18D505EB" w14:textId="77777777">
      <w:pPr>
        <w:spacing w:after="20"/>
        <w:ind w:left="230" w:hanging="187"/>
      </w:pPr>
      <w:r>
        <w:rPr>
          <w:b/>
          <w:color w:val="0F6B73"/>
        </w:rPr>
        <w:t xml:space="preserve">• </w:t>
      </w:r>
      <w:r>
        <w:t>In Rome he met Lou Salomé, opening the next dramatic and painful chapter of his life.</w:t>
      </w:r>
    </w:p>
    <w:p w14:paraId="3F50B448" w14:textId="77777777">
      <w:pPr>
        <w:keepNext/>
        <w:pBdr>
          <w:top w:val="single" w:sz="6" w:space="2" w:color="17324D"/>
          <w:left w:val="single" w:sz="6" w:space="2" w:color="17324D"/>
          <w:bottom w:val="single" w:sz="6" w:space="2" w:color="17324D"/>
          <w:right w:val="single" w:sz="6" w:space="2" w:color="17324D"/>
        </w:pBdr>
        <w:shd w:val="clear" w:color="auto" w:fill="17324D"/>
        <w:spacing w:before="20" w:after="20"/>
        <w:ind w:left="29" w:right="29"/>
      </w:pPr>
      <w:r>
        <w:rPr>
          <w:b/>
          <w:color w:val="FFFFFF"/>
          <w:sz w:val="26"/>
        </w:rPr>
        <w:t xml:space="preserve"> 15. Major Contrasts to Watch </w:t>
      </w:r>
    </w:p>
    <w:p w14:paraId="1620F292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Human-centered meaning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Dehumanized nature</w:t>
      </w:r>
    </w:p>
    <w:p w14:paraId="0906784D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Knowledge in the head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Knowledge incorporated into life</w:t>
      </w:r>
    </w:p>
    <w:p w14:paraId="5841CA5C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Organic universe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Inorganic and mechanical universe</w:t>
      </w:r>
    </w:p>
    <w:p w14:paraId="6EFD0196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Metaphysical consolation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No refuge outside this world</w:t>
      </w:r>
    </w:p>
    <w:p w14:paraId="7B32D358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Physical agony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Intellectual ecstasy</w:t>
      </w:r>
    </w:p>
    <w:p w14:paraId="67E2E0E9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Prophetic seriousness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Laughter and self-mockery</w:t>
      </w:r>
    </w:p>
    <w:p w14:paraId="05DB33EC" w14:textId="77777777">
      <w:pPr>
        <w:spacing w:after="32" w:line="245" w:lineRule="auto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>Northern heaviness</w:t>
      </w:r>
      <w:r>
        <w:rPr>
          <w:b/>
          <w:color w:val="A9B1B7"/>
        </w:rPr>
        <w:t xml:space="preserve">  versus  </w:t>
      </w:r>
      <w:r>
        <w:rPr>
          <w:b/>
          <w:color w:val="0F6B73"/>
        </w:rPr>
        <w:t>Mediterranean gaiety</w:t>
      </w:r>
    </w:p>
    <w:p w14:paraId="4563A014" w14:textId="77777777">
      <w:pPr>
        <w:keepNext/>
        <w:pBdr>
          <w:top w:val="single" w:sz="6" w:space="2" w:color="2A6F97"/>
          <w:left w:val="single" w:sz="6" w:space="2" w:color="2A6F97"/>
          <w:bottom w:val="single" w:sz="6" w:space="2" w:color="2A6F97"/>
          <w:right w:val="single" w:sz="6" w:space="2" w:color="2A6F97"/>
        </w:pBdr>
        <w:shd w:val="clear" w:color="auto" w:fill="2A6F97"/>
        <w:spacing w:before="20" w:after="20"/>
        <w:ind w:left="29" w:right="29"/>
      </w:pPr>
      <w:r>
        <w:rPr>
          <w:b/>
          <w:color w:val="FFFFFF"/>
          <w:sz w:val="26"/>
        </w:rPr>
        <w:t xml:space="preserve"> 16. Key Terms </w:t>
      </w:r>
    </w:p>
    <w:p w14:paraId="1A00F3B6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Eternal recurrence: </w:t>
      </w:r>
      <w:r>
        <w:t>The hypothesis that the exact total sequence of events returns endlessly.</w:t>
      </w:r>
    </w:p>
    <w:p w14:paraId="31925BCB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Recurrence of the same: </w:t>
      </w:r>
      <w:r>
        <w:t>Not mere similarity, but the repetition of every detail in the same configuration.</w:t>
      </w:r>
    </w:p>
    <w:p w14:paraId="56D849F2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Dehumanized nature: </w:t>
      </w:r>
      <w:r>
        <w:t>Nature understood without moral purpose, divine design, or human-centered meaning.</w:t>
      </w:r>
    </w:p>
    <w:p w14:paraId="4299A287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Perspectivism: </w:t>
      </w:r>
      <w:r>
        <w:t>The view that knowing always occurs from a standpoint; Chapter 10 shows Nietzsche testing the limits of this idea.</w:t>
      </w:r>
    </w:p>
    <w:p w14:paraId="1AFCF82D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Incorporation: </w:t>
      </w:r>
      <w:r>
        <w:t>The process by which knowledge becomes embodied in instinct, emotion, habit, and culture.</w:t>
      </w:r>
    </w:p>
    <w:p w14:paraId="75C995BC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The Gay Science: </w:t>
      </w:r>
      <w:r>
        <w:t>A joyful, experimental, self-questioning pursuit of knowledge that combines seriousness with artistic lightness.</w:t>
      </w:r>
    </w:p>
    <w:p w14:paraId="518240C3" w14:textId="77777777">
      <w:pPr>
        <w:spacing w:after="20"/>
        <w:ind w:left="173" w:hanging="173"/>
      </w:pPr>
      <w:r>
        <w:rPr>
          <w:b/>
          <w:color w:val="D9A441"/>
        </w:rPr>
        <w:t xml:space="preserve">◆ </w:t>
      </w:r>
      <w:r>
        <w:rPr>
          <w:b/>
          <w:color w:val="17324D"/>
        </w:rPr>
        <w:t xml:space="preserve">Eternal noon: </w:t>
      </w:r>
      <w:r>
        <w:t>The image of a permanent present within the turning circle of time.</w:t>
      </w:r>
    </w:p>
    <w:p w14:paraId="0CFB4F3C" w14:textId="77777777">
      <w:pPr>
        <w:keepNext/>
        <w:pBdr>
          <w:top w:val="single" w:sz="6" w:space="2" w:color="3E7C59"/>
          <w:left w:val="single" w:sz="6" w:space="2" w:color="3E7C59"/>
          <w:bottom w:val="single" w:sz="6" w:space="2" w:color="3E7C59"/>
          <w:right w:val="single" w:sz="6" w:space="2" w:color="3E7C59"/>
        </w:pBdr>
        <w:shd w:val="clear" w:color="auto" w:fill="3E7C59"/>
        <w:spacing w:before="20" w:after="20"/>
        <w:ind w:left="29" w:right="29"/>
      </w:pPr>
      <w:r>
        <w:rPr>
          <w:b/>
          <w:color w:val="FFFFFF"/>
          <w:sz w:val="26"/>
        </w:rPr>
        <w:t xml:space="preserve"> 17. Compact Timeline </w:t>
      </w:r>
    </w:p>
    <w:p w14:paraId="201B74D6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1862  </w:t>
      </w:r>
      <w:r>
        <w:t>In “Fate and History,” the young Nietzsche already imagines cyclical cosmic time.</w:t>
      </w:r>
    </w:p>
    <w:p w14:paraId="585DE685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1872  </w:t>
      </w:r>
      <w:r>
        <w:t>The Birth of Tragedy links changing phenomena to an enduring core of existence.</w:t>
      </w:r>
    </w:p>
    <w:p w14:paraId="25615FAC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Early summer 1881  </w:t>
      </w:r>
      <w:r>
        <w:t>Notebook entries attack the ego and call for experience on a cosmic level.</w:t>
      </w:r>
    </w:p>
    <w:p w14:paraId="23A01DC8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Summer 1881  </w:t>
      </w:r>
      <w:r>
        <w:t>At Sils-Maria, eternal recurrence becomes Nietzsche’s “main idea.”</w:t>
      </w:r>
    </w:p>
    <w:p w14:paraId="50A34265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Late summer–autumn 1881  </w:t>
      </w:r>
      <w:r>
        <w:t>Elation alternates with severe illness and despair.</w:t>
      </w:r>
    </w:p>
    <w:p w14:paraId="2236F423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Winter 1881–1882  </w:t>
      </w:r>
      <w:r>
        <w:t>A mild season in Genoa restores him.</w:t>
      </w:r>
    </w:p>
    <w:p w14:paraId="31409538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January 1882  </w:t>
      </w:r>
      <w:r>
        <w:t>The “holy January” inspires the fourth book of The Gay Science.</w:t>
      </w:r>
    </w:p>
    <w:p w14:paraId="15A94928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Early 1882  </w:t>
      </w:r>
      <w:r>
        <w:t>Nietzsche completes the first four books of The Gay Science.</w:t>
      </w:r>
    </w:p>
    <w:p w14:paraId="1A6845C5" w14:textId="77777777">
      <w:pPr>
        <w:spacing w:line="245" w:lineRule="auto"/>
        <w:ind w:left="648" w:hanging="648"/>
      </w:pPr>
      <w:r>
        <w:rPr>
          <w:b/>
          <w:color w:val="3E7C59"/>
        </w:rPr>
        <w:t xml:space="preserve">Spring 1882  </w:t>
      </w:r>
      <w:r>
        <w:t>He travels to Messina, then to Rome, where he meets Lou Salomé.</w:t>
      </w:r>
    </w:p>
    <w:p w14:paraId="2D495FEC" w14:textId="77777777">
      <w:pPr>
        <w:keepNext/>
        <w:pBdr>
          <w:top w:val="single" w:sz="6" w:space="2" w:color="7A2E3A"/>
          <w:left w:val="single" w:sz="6" w:space="2" w:color="7A2E3A"/>
          <w:bottom w:val="single" w:sz="6" w:space="2" w:color="7A2E3A"/>
          <w:right w:val="single" w:sz="6" w:space="2" w:color="7A2E3A"/>
        </w:pBdr>
        <w:shd w:val="clear" w:color="auto" w:fill="7A2E3A"/>
        <w:spacing w:before="20" w:after="20"/>
        <w:ind w:left="29" w:right="29"/>
      </w:pPr>
      <w:r>
        <w:rPr>
          <w:b/>
          <w:color w:val="FFFFFF"/>
          <w:sz w:val="26"/>
        </w:rPr>
        <w:t xml:space="preserve"> 18. Questions for Book-Club Discussion </w:t>
      </w:r>
    </w:p>
    <w:p w14:paraId="72F1B3E7" w14:textId="77777777">
      <w:pPr>
        <w:spacing w:after="24"/>
        <w:ind w:left="259" w:hanging="259"/>
      </w:pPr>
      <w:r>
        <w:rPr>
          <w:b/>
          <w:color w:val="7A2E3A"/>
        </w:rPr>
        <w:t xml:space="preserve">1. </w:t>
      </w:r>
      <w:r>
        <w:rPr>
          <w:b/>
          <w:color w:val="17324D"/>
        </w:rPr>
        <w:t xml:space="preserve">Is eternal recurrence mainly a scientific claim, a religious myth, or an ethical test? </w:t>
      </w:r>
      <w:r>
        <w:t>What changes depending on which interpretation we choose?</w:t>
      </w:r>
    </w:p>
    <w:p w14:paraId="3D8F9696" w14:textId="77777777">
      <w:pPr>
        <w:spacing w:after="24"/>
        <w:ind w:left="259" w:hanging="259"/>
      </w:pPr>
      <w:r>
        <w:rPr>
          <w:b/>
          <w:color w:val="7A2E3A"/>
        </w:rPr>
        <w:t xml:space="preserve">2. </w:t>
      </w:r>
      <w:r>
        <w:rPr>
          <w:b/>
          <w:color w:val="17324D"/>
        </w:rPr>
        <w:t xml:space="preserve">Why does Nietzsche believe that nature must be “dehumanized”? </w:t>
      </w:r>
      <w:r>
        <w:t>What comfort does he think human beings falsely project onto the universe?</w:t>
      </w:r>
    </w:p>
    <w:p w14:paraId="4890C119" w14:textId="77777777">
      <w:pPr>
        <w:spacing w:after="24"/>
        <w:ind w:left="259" w:hanging="259"/>
      </w:pPr>
      <w:r>
        <w:rPr>
          <w:b/>
          <w:color w:val="7A2E3A"/>
        </w:rPr>
        <w:t xml:space="preserve">3. </w:t>
      </w:r>
      <w:r>
        <w:rPr>
          <w:b/>
          <w:color w:val="17324D"/>
        </w:rPr>
        <w:t xml:space="preserve">Does a universe without purpose necessarily produce despair? </w:t>
      </w:r>
      <w:r>
        <w:t>How does The Gay Science attempt to produce joy instead?</w:t>
      </w:r>
    </w:p>
    <w:p w14:paraId="744CB64B" w14:textId="77777777">
      <w:pPr>
        <w:spacing w:after="24"/>
        <w:ind w:left="259" w:hanging="259"/>
      </w:pPr>
      <w:r>
        <w:rPr>
          <w:b/>
          <w:color w:val="7A2E3A"/>
        </w:rPr>
        <w:t xml:space="preserve">4. </w:t>
      </w:r>
      <w:r>
        <w:rPr>
          <w:b/>
          <w:color w:val="17324D"/>
        </w:rPr>
        <w:t xml:space="preserve">Can knowledge truly be “incorporated”? </w:t>
      </w:r>
      <w:r>
        <w:t>What truths do we accept intellectually but fail to live emotionally?</w:t>
      </w:r>
    </w:p>
    <w:p w14:paraId="3DFA4FC3" w14:textId="77777777">
      <w:pPr>
        <w:spacing w:after="24"/>
        <w:ind w:left="259" w:hanging="259"/>
      </w:pPr>
      <w:r>
        <w:rPr>
          <w:b/>
          <w:color w:val="7A2E3A"/>
        </w:rPr>
        <w:t xml:space="preserve">5. </w:t>
      </w:r>
      <w:r>
        <w:rPr>
          <w:b/>
          <w:color w:val="17324D"/>
        </w:rPr>
        <w:t xml:space="preserve">Is Nietzsche’s argument from finite force and infinite time convincing? </w:t>
      </w:r>
      <w:r>
        <w:t>Does its philosophical value depend on its scientific truth?</w:t>
      </w:r>
    </w:p>
    <w:p w14:paraId="46D2B0B3" w14:textId="77777777">
      <w:pPr>
        <w:spacing w:after="24"/>
        <w:ind w:left="259" w:hanging="259"/>
      </w:pPr>
      <w:r>
        <w:rPr>
          <w:b/>
          <w:color w:val="7A2E3A"/>
        </w:rPr>
        <w:t xml:space="preserve">6. </w:t>
      </w:r>
      <w:r>
        <w:rPr>
          <w:b/>
          <w:color w:val="17324D"/>
        </w:rPr>
        <w:t xml:space="preserve">Why are physical health, climate, landscape, and travel so important to his thinking? </w:t>
      </w:r>
      <w:r>
        <w:t>Should philosophy be understood partly as a bodily activity?</w:t>
      </w:r>
    </w:p>
    <w:p w14:paraId="1BD19A19" w14:textId="77777777">
      <w:pPr>
        <w:spacing w:after="24"/>
        <w:ind w:left="259" w:hanging="259"/>
      </w:pPr>
      <w:r>
        <w:rPr>
          <w:b/>
          <w:color w:val="7A2E3A"/>
        </w:rPr>
        <w:t xml:space="preserve">7. </w:t>
      </w:r>
      <w:r>
        <w:rPr>
          <w:b/>
          <w:color w:val="17324D"/>
        </w:rPr>
        <w:t xml:space="preserve">What is gained by combining the roles of prophet and clown? </w:t>
      </w:r>
      <w:r>
        <w:t>Can laughter make a terrifying idea more livable without trivializing it?</w:t>
      </w:r>
    </w:p>
    <w:p w14:paraId="5311671B" w14:textId="77777777">
      <w:pPr>
        <w:spacing w:after="24"/>
        <w:ind w:left="259" w:hanging="259"/>
      </w:pPr>
      <w:r>
        <w:rPr>
          <w:b/>
          <w:color w:val="7A2E3A"/>
        </w:rPr>
        <w:t xml:space="preserve">8. </w:t>
      </w:r>
      <w:r>
        <w:rPr>
          <w:b/>
          <w:color w:val="17324D"/>
        </w:rPr>
        <w:t xml:space="preserve">What does your reaction to eternal recurrence reveal? </w:t>
      </w:r>
      <w:r>
        <w:t>Does it expose regret, gratitude, fear, or a desire to live differently?</w:t>
      </w:r>
    </w:p>
    <w:p w14:paraId="5DAD4F39" w14:textId="77777777">
      <w:pPr>
        <w:keepNext/>
        <w:pBdr>
          <w:top w:val="single" w:sz="6" w:space="2" w:color="D9A441"/>
          <w:left w:val="single" w:sz="6" w:space="2" w:color="D9A441"/>
          <w:bottom w:val="single" w:sz="6" w:space="2" w:color="D9A441"/>
          <w:right w:val="single" w:sz="6" w:space="2" w:color="D9A441"/>
        </w:pBdr>
        <w:shd w:val="clear" w:color="auto" w:fill="D9A441"/>
        <w:spacing w:before="20" w:after="20"/>
        <w:ind w:left="29" w:right="29"/>
      </w:pPr>
      <w:r>
        <w:rPr>
          <w:b/>
          <w:color w:val="FFFFFF"/>
          <w:sz w:val="26"/>
        </w:rPr>
        <w:t xml:space="preserve"> 19. Bottom Line </w:t>
      </w:r>
    </w:p>
    <w:p w14:paraId="5CC5246F" w14:textId="77777777">
      <w:pPr>
        <w:keepLines/>
        <w:pBdr>
          <w:top w:val="single" w:sz="8" w:space="2" w:color="D9A441"/>
          <w:left w:val="single" w:sz="8" w:space="2" w:color="D9A441"/>
          <w:bottom w:val="single" w:sz="8" w:space="2" w:color="D9A441"/>
          <w:right w:val="single" w:sz="8" w:space="2" w:color="D9A441"/>
        </w:pBdr>
        <w:shd w:val="clear" w:color="auto" w:fill="F7E9C6"/>
        <w:spacing w:before="10"/>
        <w:ind w:left="43" w:right="43"/>
      </w:pPr>
      <w:r>
        <w:rPr>
          <w:b/>
          <w:color w:val="D9A441"/>
        </w:rPr>
        <w:t xml:space="preserve"> CHAPTER 10 IN ONE PARAGRAPH</w:t>
      </w:r>
      <w:r>
        <w:rPr>
          <w:b/>
          <w:color w:val="D9A441"/>
        </w:rPr>
        <w:br/>
        <w:t xml:space="preserve"> • </w:t>
      </w:r>
      <w:r>
        <w:t xml:space="preserve">Nietzsche attempts to face a universe stripped of God, purpose, and human privilege. From older ideas of cyclical time, Schopenhauer’s eternal present, and nineteenth-century theories of conserved energy, he fashions eternal recurrence: the possibility that every detail of existence returns forever. The doctrine becomes an extreme test of life-affirmation. His answer is not solemn resignation but The Gay Science—a philosophy that seeks knowledge experimentally, bodily, courageously, and with laughter, even while standing over an abyss. </w:t>
      </w:r>
    </w:p>
    <w:p w14:paraId="1213914A" w14:textId="77777777">
      <w:pPr>
        <w:sectPr>
          <w:footerReference w:type="default" r:id="rId12"/>
          <w:type w:val="continuous"/>
          <w:pgSz w:w="12240" w:h="15840"/>
          <w:pgMar w:top="490" w:right="547" w:bottom="547" w:left="547" w:header="230" w:footer="259" w:gutter="0"/>
          <w:cols w:num="2" w:space="240"/>
          <w:docGrid w:linePitch="360"/>
        </w:sectPr>
      </w:pPr>
    </w:p>
    <w:p w14:paraId="13B98AFE" w14:textId="77777777">
      <w:pPr>
        <w:spacing w:after="0" w:line="24" w:lineRule="auto"/>
      </w:pPr>
      <w:r>
        <w:rPr>
          <w:color w:val="FFFFFF"/>
          <w:sz w:val="2"/>
        </w:rPr>
        <w:t xml:space="preserve"> </w:t>
      </w:r>
    </w:p>
    <w:sectPr>
      <w:footerReference w:type="default" r:id="rId13"/>
      <w:type w:val="continuous"/>
      <w:pgSz w:w="12240" w:h="15840"/>
      <w:pgMar w:top="490" w:right="547" w:bottom="547" w:left="547" w:header="230" w:footer="259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49EAE" w14:textId="77777777">
      <w:pPr>
        <w:spacing w:after="0"/>
      </w:pPr>
      <w:r>
        <w:separator/>
      </w:r>
    </w:p>
  </w:endnote>
  <w:endnote w:type="continuationSeparator" w:id="0">
    <w:p w14:paraId="123CA6E3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48670" w14:textId="77777777">
    <w:pPr>
      <w:pStyle w:val="Footer"/>
      <w:spacing w:line="24" w:lineRule="aut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400"/>
      <w:gridCol w:w="5400"/>
    </w:tblGrid>
    <w:tr w14:paraId="51610469" w14:textId="77777777">
      <w:trPr>
        <w:jc w:val="center"/>
      </w:trPr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B466775" w14:textId="77777777">
          <w:pPr>
            <w:spacing w:after="0"/>
          </w:pPr>
          <w:r>
            <w:rPr>
              <w:rFonts w:ascii="Arial" w:hAnsi="Arial"/>
              <w:sz w:val="16"/>
            </w:rPr>
            <w:t>Nietzsche_Chapter_10_Composite_Reading_Companion.docx</w:t>
          </w: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6FBB525" w14:textId="77777777">
          <w:pPr>
            <w:jc w:val="right"/>
          </w:pPr>
          <w:r>
            <w:rPr>
              <w:b/>
              <w:color w:val="17324D"/>
            </w:rPr>
            <w:fldChar w:fldCharType="begin"/>
          </w:r>
          <w:r>
            <w:rPr>
              <w:b/>
              <w:color w:val="17324D"/>
            </w:rPr>
            <w:instrText xml:space="preserve"> PAGE </w:instrText>
          </w:r>
          <w:r>
            <w:rPr>
              <w:b/>
              <w:color w:val="17324D"/>
            </w:rPr>
            <w:fldChar w:fldCharType="separate"/>
          </w:r>
          <w:r>
            <w:rPr>
              <w:b/>
              <w:noProof/>
              <w:color w:val="17324D"/>
            </w:rPr>
            <w:t>1</w:t>
          </w:r>
          <w:r>
            <w:rPr>
              <w:b/>
              <w:color w:val="17324D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3CCD3" w14:textId="77777777">
    <w:pPr>
      <w:pStyle w:val="Footer"/>
      <w:spacing w:line="24" w:lineRule="aut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400"/>
      <w:gridCol w:w="5400"/>
    </w:tblGrid>
    <w:tr w14:paraId="04CB2407" w14:textId="77777777">
      <w:trPr>
        <w:jc w:val="center"/>
      </w:trPr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D959F5A" w14:textId="77777777">
          <w:pPr>
            <w:spacing w:after="0"/>
          </w:pPr>
          <w:r>
            <w:rPr>
              <w:rFonts w:ascii="Arial" w:hAnsi="Arial"/>
              <w:sz w:val="16"/>
            </w:rPr>
            <w:t>Nietzsche_Chapter_10_Composite_Reading_Companion.docx</w:t>
          </w: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00F44B2" w14:textId="77777777">
          <w:pPr>
            <w:jc w:val="right"/>
          </w:pPr>
          <w:r>
            <w:rPr>
              <w:b/>
              <w:color w:val="17324D"/>
            </w:rPr>
            <w:fldChar w:fldCharType="begin"/>
          </w:r>
          <w:r>
            <w:rPr>
              <w:b/>
              <w:color w:val="17324D"/>
            </w:rPr>
            <w:instrText xml:space="preserve"> PAGE </w:instrText>
          </w:r>
          <w:r>
            <w:rPr>
              <w:b/>
              <w:color w:val="17324D"/>
            </w:rPr>
            <w:fldChar w:fldCharType="separate"/>
          </w:r>
          <w:r>
            <w:rPr>
              <w:b/>
              <w:noProof/>
              <w:color w:val="17324D"/>
            </w:rPr>
            <w:t>1</w:t>
          </w:r>
          <w:r>
            <w:rPr>
              <w:b/>
              <w:color w:val="17324D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51A1F7" w14:textId="77777777">
    <w:pPr>
      <w:pStyle w:val="Footer"/>
      <w:spacing w:line="24" w:lineRule="aut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400"/>
      <w:gridCol w:w="5400"/>
    </w:tblGrid>
    <w:tr w14:paraId="3B76A1B8" w14:textId="77777777">
      <w:trPr>
        <w:jc w:val="center"/>
      </w:trPr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ABF2B4B" w14:textId="77777777">
          <w:pPr>
            <w:spacing w:after="0"/>
          </w:pPr>
          <w:r>
            <w:rPr>
              <w:rFonts w:ascii="Arial" w:hAnsi="Arial"/>
              <w:sz w:val="16"/>
            </w:rPr>
            <w:t>Nietzsche_Chapter_10_Composite_Reading_Companion.docx</w:t>
          </w: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2ECA4AF" w14:textId="77777777">
          <w:pPr>
            <w:jc w:val="right"/>
          </w:pPr>
          <w:r>
            <w:rPr>
              <w:b/>
              <w:color w:val="17324D"/>
            </w:rPr>
            <w:fldChar w:fldCharType="begin"/>
          </w:r>
          <w:r>
            <w:rPr>
              <w:b/>
              <w:color w:val="17324D"/>
            </w:rPr>
            <w:instrText xml:space="preserve"> PAGE </w:instrText>
          </w:r>
          <w:r>
            <w:rPr>
              <w:b/>
              <w:color w:val="17324D"/>
            </w:rPr>
            <w:fldChar w:fldCharType="separate"/>
          </w:r>
          <w:r>
            <w:rPr>
              <w:b/>
              <w:noProof/>
              <w:color w:val="17324D"/>
            </w:rPr>
            <w:t>1</w:t>
          </w:r>
          <w:r>
            <w:rPr>
              <w:b/>
              <w:color w:val="17324D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B371F0" w14:textId="77777777">
      <w:pPr>
        <w:spacing w:after="0"/>
      </w:pPr>
      <w:r>
        <w:separator/>
      </w:r>
    </w:p>
  </w:footnote>
  <w:footnote w:type="continuationSeparator" w:id="0">
    <w:p w14:paraId="4132C880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420813">
    <w:abstractNumId w:val="8"/>
  </w:num>
  <w:num w:numId="2" w16cid:durableId="1540314966">
    <w:abstractNumId w:val="6"/>
  </w:num>
  <w:num w:numId="3" w16cid:durableId="1599487426">
    <w:abstractNumId w:val="5"/>
  </w:num>
  <w:num w:numId="4" w16cid:durableId="1295793530">
    <w:abstractNumId w:val="4"/>
  </w:num>
  <w:num w:numId="5" w16cid:durableId="1440373661">
    <w:abstractNumId w:val="7"/>
  </w:num>
  <w:num w:numId="6" w16cid:durableId="1654411337">
    <w:abstractNumId w:val="3"/>
  </w:num>
  <w:num w:numId="7" w16cid:durableId="707992400">
    <w:abstractNumId w:val="2"/>
  </w:num>
  <w:num w:numId="8" w16cid:durableId="2007585179">
    <w:abstractNumId w:val="1"/>
  </w:num>
  <w:num w:numId="9" w16cid:durableId="8633714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310"/>
    <w:rsid w:val="0029639D"/>
    <w:rsid w:val="00326F90"/>
    <w:rsid w:val="00414BEE"/>
    <w:rsid w:val="009E0DCA"/>
    <w:rsid w:val="00AA1D8D"/>
    <w:rsid w:val="00B47730"/>
    <w:rsid w:val="00CB0664"/>
    <w:rsid w:val="00E750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EB232"/>
  <w14:defaultImageDpi w14:val="300"/>
  <w15:docId w15:val="{9CEB872B-0BE9-CE48-9828-66A4C52C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Lato" w:eastAsia="Lato" w:hAnsi="Lato"/>
      <w:color w:val="1F2933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2116</Words>
  <Characters>11854</Characters>
  <Application>Microsoft Office Word</Application>
  <DocSecurity>0</DocSecurity>
  <Lines>382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Eternal Recurrence and The Gay Science — Composite Reading Companion</dc:title>
  <dc:subject>Three-page infographic followed by the full Chapter 10 reading companion text.</dc:subject>
  <dc:creator/>
  <cp:keywords>Nietzsche, Safranski, eternal recurrence, The Gay Science, reading companion</cp:keywords>
  <dc:description>generated by python-docx</dc:description>
  <cp:lastModifiedBy/>
  <cp:revision>2</cp:revision>
  <cp:lastPrinted>2026-07-12T22:58:00Z</cp:lastPrinted>
  <dcterms:created xsi:type="dcterms:W3CDTF">2026-07-12T22:59:00Z</dcterms:created>
  <dcterms:modified xsi:type="dcterms:W3CDTF">2026-07-12T22:59:00Z</dcterms:modified>
  <cp:category/>
</cp:coreProperties>
</file>