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80" w:line="276" w:lineRule="auto"/>
        <w:jc w:val="left"/>
      </w:pPr>
      <w:r>
        <w:rPr>
          <w:rFonts w:ascii="Aptos" w:hAnsi="Aptos"/>
          <w:b/>
          <w:i w:val="0"/>
          <w:color w:val="C59B47"/>
          <w:sz w:val="20"/>
        </w:rPr>
        <w:t>SAMPLE READING COMPANION</w:t>
      </w:r>
    </w:p>
    <w:p>
      <w:pPr>
        <w:pStyle w:val="Title"/>
        <w:keepNext/>
        <w:spacing w:after="60"/>
      </w:pPr>
      <w:r>
        <w:rPr>
          <w:rFonts w:ascii="Georgia" w:hAnsi="Georgia"/>
          <w:b/>
          <w:i w:val="0"/>
          <w:color w:val="18314F"/>
          <w:sz w:val="48"/>
        </w:rPr>
        <w:t>Nietzsche: A Philosophical Biography</w:t>
      </w:r>
    </w:p>
    <w:p>
      <w:pPr>
        <w:keepNext/>
        <w:spacing w:before="0" w:after="240" w:line="276" w:lineRule="auto"/>
        <w:jc w:val="left"/>
      </w:pPr>
      <w:r>
        <w:rPr>
          <w:rFonts w:ascii="Aptos" w:hAnsi="Aptos"/>
          <w:b w:val="0"/>
          <w:i/>
          <w:color w:val="5E5A54"/>
          <w:sz w:val="22"/>
        </w:rPr>
        <w:t>A sample Book Club Buddy reading companion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50" w:type="dxa"/>
              <w:start w:w="190" w:type="dxa"/>
              <w:bottom w:w="150" w:type="dxa"/>
              <w:end w:w="190" w:type="dxa"/>
            </w:tcMar>
            <w:shd w:fill="F5EBD7"/>
            <w:vAlign w:val="center"/>
          </w:tcPr>
          <w:p>
            <w:pPr>
              <w:spacing w:after="0" w:line="276" w:lineRule="auto"/>
            </w:pPr>
            <w:r>
              <w:rPr>
                <w:rFonts w:ascii="Aptos" w:hAnsi="Aptos"/>
                <w:b/>
                <w:i w:val="0"/>
                <w:color w:val="7A263A"/>
                <w:sz w:val="20"/>
              </w:rPr>
              <w:t xml:space="preserve">KEY TAKEAWAY  </w:t>
            </w:r>
            <w:r>
              <w:rPr>
                <w:rFonts w:ascii="Aptos" w:hAnsi="Aptos"/>
                <w:b/>
                <w:i w:val="0"/>
                <w:color w:val="18314F"/>
                <w:sz w:val="24"/>
              </w:rPr>
              <w:t>Nietzsche asks how a person can create a meaningful life after inherited religious and moral certainties have weakened.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160" w:after="100"/>
      </w:pPr>
      <w:r>
        <w:rPr>
          <w:rFonts w:ascii="Georgia" w:hAnsi="Georgia"/>
          <w:b/>
          <w:i w:val="0"/>
          <w:color w:val="7A263A"/>
          <w:sz w:val="32"/>
        </w:rPr>
        <w:t>Central argument</w:t>
      </w:r>
    </w:p>
    <w:p>
      <w:pPr>
        <w:spacing w:before="0" w:after="120" w:line="276" w:lineRule="auto"/>
        <w:jc w:val="left"/>
      </w:pPr>
      <w:r>
        <w:rPr>
          <w:rFonts w:ascii="Aptos" w:hAnsi="Aptos"/>
          <w:b w:val="0"/>
          <w:i w:val="0"/>
          <w:color w:val="2B2B2B"/>
          <w:sz w:val="24"/>
        </w:rPr>
        <w:t>The biography presents Nietzsche's philosophy as inseparable from his life: his illnesses, loneliness, friendships, disappointments, and search for a place where he could think and write. His ideas about self-overcoming, perspectivism, eternal recurrence, and the will to power are best understood as challenges to examine our values rather than simple commands to dominate other people.</w:t>
      </w:r>
    </w:p>
    <w:p>
      <w:pPr>
        <w:pStyle w:val="Heading1"/>
        <w:keepNext/>
        <w:spacing w:before="160" w:after="100"/>
      </w:pPr>
      <w:r>
        <w:rPr>
          <w:rFonts w:ascii="Georgia" w:hAnsi="Georgia"/>
          <w:b/>
          <w:i w:val="0"/>
          <w:color w:val="7A263A"/>
          <w:sz w:val="32"/>
        </w:rPr>
        <w:t>Three things to remember</w:t>
      </w:r>
    </w:p>
    <w:p>
      <w:pPr>
        <w:pStyle w:val="ListBullet"/>
        <w:spacing w:after="100" w:line="276" w:lineRule="auto"/>
        <w:ind w:left="547" w:hanging="274"/>
      </w:pPr>
      <w:r>
        <w:rPr>
          <w:rFonts w:ascii="Aptos" w:hAnsi="Aptos"/>
          <w:b w:val="0"/>
          <w:i w:val="0"/>
          <w:color w:val="2B2B2B"/>
          <w:sz w:val="24"/>
        </w:rPr>
        <w:t>Self-overcoming is inward work. Nietzsche usually directs the struggle toward one's habits, fears, and inherited assumptions.</w:t>
      </w:r>
    </w:p>
    <w:p>
      <w:pPr>
        <w:pStyle w:val="ListBullet"/>
        <w:spacing w:after="100" w:line="276" w:lineRule="auto"/>
        <w:ind w:left="547" w:hanging="274"/>
      </w:pPr>
      <w:r>
        <w:rPr>
          <w:rFonts w:ascii="Aptos" w:hAnsi="Aptos"/>
          <w:b w:val="0"/>
          <w:i w:val="0"/>
          <w:color w:val="2B2B2B"/>
          <w:sz w:val="24"/>
        </w:rPr>
        <w:t>Perspectivism does not mean every opinion is equally sound. It means that human knowledge always comes from a standpoint and should be tested from more than one angle.</w:t>
      </w:r>
    </w:p>
    <w:p>
      <w:pPr>
        <w:pStyle w:val="ListBullet"/>
        <w:spacing w:after="100" w:line="276" w:lineRule="auto"/>
        <w:ind w:left="547" w:hanging="274"/>
      </w:pPr>
      <w:r>
        <w:rPr>
          <w:rFonts w:ascii="Aptos" w:hAnsi="Aptos"/>
          <w:b w:val="0"/>
          <w:i w:val="0"/>
          <w:color w:val="2B2B2B"/>
          <w:sz w:val="24"/>
        </w:rPr>
        <w:t>His combative language created dangers. Terms such as will to power and Overman can be misunderstood when separated from their philosophical setting.</w:t>
      </w:r>
    </w:p>
    <w:p>
      <w:pPr>
        <w:pStyle w:val="Heading1"/>
        <w:keepNext/>
        <w:spacing w:before="160" w:after="100"/>
      </w:pPr>
      <w:r>
        <w:rPr>
          <w:rFonts w:ascii="Georgia" w:hAnsi="Georgia"/>
          <w:b/>
          <w:i w:val="0"/>
          <w:color w:val="7A263A"/>
          <w:sz w:val="32"/>
        </w:rPr>
        <w:t>Discussion starter</w:t>
      </w:r>
    </w:p>
    <w:p>
      <w:pPr>
        <w:spacing w:before="0" w:after="160" w:line="276" w:lineRule="auto"/>
        <w:jc w:val="left"/>
      </w:pPr>
      <w:r>
        <w:rPr>
          <w:rFonts w:ascii="Aptos" w:hAnsi="Aptos"/>
          <w:b/>
          <w:i w:val="0"/>
          <w:color w:val="18314F"/>
          <w:sz w:val="24"/>
        </w:rPr>
        <w:t>Does Nietzsche's language help readers confront difficult questions, or does its combative tone make his ideas easier to misuse?</w:t>
      </w:r>
    </w:p>
    <w:p>
      <w:pPr>
        <w:keepLines/>
        <w:spacing w:before="60" w:after="0" w:line="276" w:lineRule="auto"/>
        <w:jc w:val="left"/>
      </w:pPr>
      <w:r>
        <w:rPr>
          <w:rFonts w:ascii="Aptos" w:hAnsi="Aptos"/>
          <w:b w:val="0"/>
          <w:i/>
          <w:color w:val="5E5A54"/>
          <w:sz w:val="19"/>
        </w:rPr>
        <w:t>Sample edition - This short companion demonstrates the website's download feature. A complete Book Club Buddy edition can include chapter summaries, timelines, maps, terms, quotations, and discussion questions.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488"/>
      <w:gridCol w:w="1872"/>
    </w:tblGrid>
    <w:tr>
      <w:tc>
        <w:tcPr>
          <w:tcW w:type="dxa" w:w="7488"/>
          <w:tcMar>
            <w:top w:w="4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ptos" w:hAnsi="Aptos"/>
              <w:b w:val="0"/>
              <w:i w:val="0"/>
              <w:color w:val="5E5A54"/>
              <w:sz w:val="18"/>
            </w:rPr>
            <w:t>nietzsche-philosophical-biography-sample.docx</w:t>
          </w:r>
        </w:p>
      </w:tc>
      <w:tc>
        <w:tcPr>
          <w:tcW w:type="dxa" w:w="1872"/>
          <w:tcMar>
            <w:top w:w="4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/>
              <w:b/>
              <w:i w:val="0"/>
              <w:color w:val="5E5A54"/>
              <w:sz w:val="18"/>
            </w:rPr>
            <w:t>Page 1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C59B47"/>
        <w:sz w:val="18"/>
      </w:rPr>
      <w:t>BOOK CLUB BUDDY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/>
      <w:color w:val="2B2B2B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7A263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8314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E5A5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