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40" w:after="20"/>
        <w:jc w:val="center"/>
      </w:pPr>
      <w:r>
        <w:rPr>
          <w:rFonts w:ascii="Aptos Display" w:hAnsi="Aptos Display"/>
          <w:b/>
          <w:color w:val="173B45"/>
          <w:sz w:val="50"/>
        </w:rPr>
        <w:t>Keren Brown Wilson</w:t>
      </w:r>
    </w:p>
    <w:p>
      <w:pPr>
        <w:widowControl/>
        <w:spacing w:after="60"/>
        <w:jc w:val="center"/>
      </w:pPr>
      <w:r>
        <w:rPr>
          <w:rFonts w:ascii="Aptos Display" w:hAnsi="Aptos Display"/>
          <w:b/>
          <w:color w:val="B64E3A"/>
          <w:sz w:val="36"/>
        </w:rPr>
        <w:t>The Birth of Assisted Living</w:t>
      </w:r>
    </w:p>
    <w:p>
      <w:pPr>
        <w:widowControl/>
        <w:spacing w:after="80"/>
        <w:jc w:val="center"/>
      </w:pPr>
      <w:r>
        <w:rPr>
          <w:rFonts w:ascii="Aptos" w:hAnsi="Aptos"/>
          <w:b/>
          <w:color w:val="0F6B68"/>
          <w:sz w:val="24"/>
        </w:rPr>
        <w:t>A biography and Chapter 4 supplement to Atul Gawande's Being Mortal</w:t>
      </w:r>
    </w:p>
    <w:p>
      <w:pPr>
        <w:widowControl/>
        <w:spacing w:after="60"/>
        <w:jc w:val="center"/>
      </w:pPr>
      <w:r>
        <w:drawing>
          <wp:inline xmlns:a="http://schemas.openxmlformats.org/drawingml/2006/main" xmlns:pic="http://schemas.openxmlformats.org/drawingml/2006/picture">
            <wp:extent cx="3547872" cy="1998635"/>
            <wp:docPr id="1" name="Picture 1" title="Keren Brown Wilson in an assisted-living residence" descr="Keren Brown Wilson stands in a residential hallway beside a wall of framed portraits."/>
            <wp:cNvGraphicFramePr>
              <a:graphicFrameLocks noChangeAspect="1"/>
            </wp:cNvGraphicFramePr>
            <a:graphic>
              <a:graphicData uri="http://schemas.openxmlformats.org/drawingml/2006/picture">
                <pic:pic>
                  <pic:nvPicPr>
                    <pic:cNvPr id="0" name="keren_brown_wilson_bizjournal.jpg"/>
                    <pic:cNvPicPr/>
                  </pic:nvPicPr>
                  <pic:blipFill>
                    <a:blip r:embed="rId15"/>
                    <a:stretch>
                      <a:fillRect/>
                    </a:stretch>
                  </pic:blipFill>
                  <pic:spPr>
                    <a:xfrm>
                      <a:off x="0" y="0"/>
                      <a:ext cx="3547872" cy="1998635"/>
                    </a:xfrm>
                    <a:prstGeom prst="rect"/>
                  </pic:spPr>
                </pic:pic>
              </a:graphicData>
            </a:graphic>
          </wp:inline>
        </w:drawing>
      </w:r>
      <w:r>
        <w:t xml:space="preserve">   </w:t>
      </w:r>
      <w:r>
        <w:drawing>
          <wp:inline xmlns:a="http://schemas.openxmlformats.org/drawingml/2006/main" xmlns:pic="http://schemas.openxmlformats.org/drawingml/2006/picture">
            <wp:extent cx="1828800" cy="1843347"/>
            <wp:docPr id="2" name="Picture 2" title="Portrait of Keren Brown Wilson" descr="Close portrait of elder-care pioneer Keren Brown Wilson."/>
            <wp:cNvGraphicFramePr>
              <a:graphicFrameLocks noChangeAspect="1"/>
            </wp:cNvGraphicFramePr>
            <a:graphic>
              <a:graphicData uri="http://schemas.openxmlformats.org/drawingml/2006/picture">
                <pic:pic>
                  <pic:nvPicPr>
                    <pic:cNvPr id="0" name="keren_brown_wilson_wvpb.jpg"/>
                    <pic:cNvPicPr/>
                  </pic:nvPicPr>
                  <pic:blipFill>
                    <a:blip r:embed="rId16"/>
                    <a:stretch>
                      <a:fillRect/>
                    </a:stretch>
                  </pic:blipFill>
                  <pic:spPr>
                    <a:xfrm>
                      <a:off x="0" y="0"/>
                      <a:ext cx="1828800" cy="1843347"/>
                    </a:xfrm>
                    <a:prstGeom prst="rect"/>
                  </pic:spPr>
                </pic:pic>
              </a:graphicData>
            </a:graphic>
          </wp:inline>
        </w:drawing>
      </w:r>
    </w:p>
    <w:p>
      <w:pPr>
        <w:widowControl/>
        <w:spacing w:after="60"/>
        <w:jc w:val="center"/>
      </w:pPr>
      <w:r>
        <w:rPr>
          <w:rFonts w:ascii="Aptos" w:hAnsi="Aptos"/>
          <w:i/>
          <w:color w:val="5D6A70"/>
          <w:sz w:val="24"/>
        </w:rPr>
        <w:t>Left: Portland Business Journal / Cathy Cheney (2018).  Right: West Virginia Public Broadcasting (2015). Used here for educational commentary.</w:t>
      </w:r>
    </w:p>
    <w:tbl>
      <w:tblPr>
        <w:tblW w:type="dxa" w:w="10570"/>
        <w:jc w:val="center"/>
        <w:tblLayout w:type="fixed"/>
        <w:tblLook w:firstColumn="1" w:firstRow="1" w:lastColumn="0" w:lastRow="0" w:noHBand="0" w:noVBand="1" w:val="04A0"/>
        <w:tblInd w:w="0" w:type="dxa"/>
        <w:tblBorders>
          <w:top w:val="single" w:sz="10" w:space="0" w:color="C99A2E"/>
          <w:left w:val="single" w:sz="10" w:space="0" w:color="C99A2E"/>
          <w:bottom w:val="single" w:sz="10" w:space="0" w:color="C99A2E"/>
          <w:right w:val="single" w:sz="10" w:space="0" w:color="C99A2E"/>
        </w:tblBorders>
      </w:tblPr>
      <w:tblGrid>
        <w:gridCol w:w="10570"/>
      </w:tblGrid>
      <w:tr>
        <w:trPr>
          <w:cantSplit/>
        </w:trPr>
        <w:tc>
          <w:tcPr>
            <w:tcW w:type="dxa" w:w="10570"/>
            <w:vAlign w:val="center"/>
            <w:shd w:fill="FFF2CC"/>
            <w:tcMar>
              <w:top w:w="90" w:type="dxa"/>
              <w:start w:w="140" w:type="dxa"/>
              <w:bottom w:w="90" w:type="dxa"/>
              <w:end w:w="140" w:type="dxa"/>
            </w:tcMar>
          </w:tcPr>
          <w:p>
            <w:pPr>
              <w:keepLines/>
              <w:spacing w:after="0"/>
            </w:pPr>
            <w:r>
              <w:rPr>
                <w:rFonts w:ascii="Aptos" w:hAnsi="Aptos"/>
                <w:b/>
                <w:color w:val="C99A2E"/>
                <w:sz w:val="24"/>
              </w:rPr>
              <w:t xml:space="preserve">CENTRAL IDEA  </w:t>
            </w:r>
            <w:r>
              <w:rPr>
                <w:rFonts w:ascii="Aptos" w:hAnsi="Aptos"/>
                <w:color w:val="22313A"/>
                <w:sz w:val="24"/>
              </w:rPr>
              <w:t>Wilson did not merely redesign a nursing home. She proposed a different purpose for long-term care: provide needed help while allowing a person to remain the author of his or her own life.</w:t>
            </w:r>
          </w:p>
        </w:tc>
      </w:tr>
    </w:tbl>
    <w:p>
      <w:pPr>
        <w:widowControl/>
        <w:spacing w:after="0" w:before="0"/>
      </w:pPr>
    </w:p>
    <w:p>
      <w:pPr>
        <w:widowControl/>
        <w:sectPr>
          <w:headerReference w:type="default" r:id="rId9"/>
          <w:headerReference w:type="first" r:id="rId10"/>
          <w:headerReference w:type="even" r:id="rId11"/>
          <w:footerReference w:type="default" r:id="rId12"/>
          <w:footerReference w:type="first" r:id="rId13"/>
          <w:footerReference w:type="even" r:id="rId14"/>
          <w:pgSz w:w="12240" w:h="15840"/>
          <w:pgMar w:top="835" w:right="835" w:bottom="835" w:left="835" w:header="360" w:footer="403" w:gutter="0"/>
          <w:cols w:space="432" w:num="1" w:equalWidth="1"/>
          <w:docGrid w:linePitch="360"/>
        </w:sectPr>
      </w:pPr>
    </w:p>
    <w:p>
      <w:pPr>
        <w:pStyle w:val="Heading1"/>
        <w:keepNext/>
        <w:keepLines/>
        <w:widowControl/>
      </w:pPr>
      <w:r>
        <w:t>Who Was Keren Brown Wilson?</w:t>
      </w:r>
    </w:p>
    <w:p>
      <w:pPr>
        <w:keepLines w:val="0"/>
        <w:widowControl/>
        <w:spacing w:after="70"/>
      </w:pPr>
      <w:r>
        <w:rPr>
          <w:rFonts w:ascii="Aptos" w:hAnsi="Aptos"/>
          <w:i w:val="0"/>
          <w:color w:val="22313A"/>
          <w:sz w:val="24"/>
        </w:rPr>
        <w:t>Keren Brown Wilson is an American gerontologist, entrepreneur, educator, and advocate whose work helped establish the modern assisted-living movement. She grew up in War, West Virginia, and brought to elder care a perspective shaped by poverty, family illness, and the conviction that people with limited means deserved choices, too.</w:t>
      </w:r>
    </w:p>
    <w:p>
      <w:pPr>
        <w:pStyle w:val="ListBullet"/>
        <w:keepLines/>
        <w:widowControl/>
        <w:spacing w:after="40"/>
      </w:pPr>
      <w:r>
        <w:rPr>
          <w:rFonts w:ascii="Aptos" w:hAnsi="Aptos"/>
          <w:b/>
          <w:color w:val="22313A"/>
          <w:sz w:val="24"/>
        </w:rPr>
        <w:t>Field and education:</w:t>
      </w:r>
      <w:r>
        <w:rPr>
          <w:rFonts w:ascii="Aptos" w:hAnsi="Aptos"/>
          <w:color w:val="22313A"/>
          <w:sz w:val="24"/>
        </w:rPr>
        <w:t xml:space="preserve"> Gerontologist; Ph.D., Portland State University, 1983.</w:t>
      </w:r>
    </w:p>
    <w:p>
      <w:pPr>
        <w:pStyle w:val="ListBullet"/>
        <w:keepLines/>
        <w:widowControl/>
        <w:spacing w:after="40"/>
      </w:pPr>
      <w:r>
        <w:rPr>
          <w:rFonts w:ascii="Aptos" w:hAnsi="Aptos"/>
          <w:b/>
          <w:color w:val="22313A"/>
          <w:sz w:val="24"/>
        </w:rPr>
        <w:t>Legacy:</w:t>
      </w:r>
      <w:r>
        <w:rPr>
          <w:rFonts w:ascii="Aptos" w:hAnsi="Aptos"/>
          <w:color w:val="22313A"/>
          <w:sz w:val="24"/>
        </w:rPr>
        <w:t xml:space="preserve"> Professor, developer, and advocate frequently called the “mother of assisted living.”</w:t>
      </w:r>
    </w:p>
    <w:p>
      <w:pPr>
        <w:pStyle w:val="Heading2"/>
        <w:keepNext/>
        <w:keepLines/>
        <w:widowControl/>
      </w:pPr>
      <w:r>
        <w:t>The Experience That Changed Her Life</w:t>
      </w:r>
    </w:p>
    <w:p>
      <w:pPr>
        <w:keepLines w:val="0"/>
        <w:widowControl/>
        <w:spacing w:after="70"/>
      </w:pPr>
      <w:r>
        <w:rPr>
          <w:rFonts w:ascii="Aptos" w:hAnsi="Aptos"/>
          <w:i w:val="0"/>
          <w:color w:val="22313A"/>
          <w:sz w:val="24"/>
        </w:rPr>
        <w:t>When Wilson was nineteen, her mother, Jessie F. Richardson, suffered a disabling stroke at fifty-five. Because Jessie was poor and relied on Medicaid, she spent much of her remaining decade in nursing homes. The institutions provided food, medicine, and supervision, but also controlled when residents rose, ate, bathed, slept, and received visitors. Dependence became a loss of authority over her own life.</w:t>
      </w:r>
    </w:p>
    <w:tbl>
      <w:tblPr>
        <w:tblW w:type="dxa" w:w="5069"/>
        <w:jc w:val="center"/>
        <w:tblLayout w:type="fixed"/>
        <w:tblLook w:firstColumn="1" w:firstRow="1" w:lastColumn="0" w:lastRow="0" w:noHBand="0" w:noVBand="1" w:val="04A0"/>
        <w:tblInd w:w="0" w:type="dxa"/>
        <w:tblBorders>
          <w:top w:val="single" w:sz="10" w:space="0" w:color="B64E3A"/>
          <w:left w:val="single" w:sz="10" w:space="0" w:color="B64E3A"/>
          <w:bottom w:val="single" w:sz="10" w:space="0" w:color="B64E3A"/>
          <w:right w:val="single" w:sz="10" w:space="0" w:color="B64E3A"/>
        </w:tblBorders>
      </w:tblPr>
      <w:tblGrid>
        <w:gridCol w:w="5069"/>
      </w:tblGrid>
      <w:tr>
        <w:trPr>
          <w:cantSplit/>
        </w:trPr>
        <w:tc>
          <w:tcPr>
            <w:tcW w:type="dxa" w:w="5069"/>
            <w:vAlign w:val="center"/>
            <w:shd w:fill="F8E5DE"/>
            <w:tcMar>
              <w:top w:w="90" w:type="dxa"/>
              <w:start w:w="140" w:type="dxa"/>
              <w:bottom w:w="90" w:type="dxa"/>
              <w:end w:w="140" w:type="dxa"/>
            </w:tcMar>
          </w:tcPr>
          <w:p>
            <w:pPr>
              <w:keepLines/>
              <w:spacing w:after="0"/>
            </w:pPr>
            <w:r>
              <w:rPr>
                <w:rFonts w:ascii="Aptos" w:hAnsi="Aptos"/>
                <w:b/>
                <w:color w:val="B64E3A"/>
                <w:sz w:val="24"/>
              </w:rPr>
              <w:t xml:space="preserve">THE CHALLENGE FROM JESSIE  </w:t>
            </w:r>
            <w:r>
              <w:rPr>
                <w:rFonts w:ascii="Aptos" w:hAnsi="Aptos"/>
                <w:color w:val="22313A"/>
                <w:sz w:val="24"/>
              </w:rPr>
              <w:t>When Wilson spoke of a career in gerontology, her mother asked, “Why aren’t you doing something to help people like me?”</w:t>
            </w:r>
          </w:p>
        </w:tc>
      </w:tr>
    </w:tbl>
    <w:p>
      <w:pPr>
        <w:widowControl/>
        <w:spacing w:after="0" w:before="0"/>
      </w:pPr>
    </w:p>
    <w:p>
      <w:pPr>
        <w:pStyle w:val="Heading2"/>
        <w:keepNext/>
        <w:keepLines/>
        <w:widowControl/>
      </w:pPr>
      <w:r>
        <w:t>From a Family Problem to a Public Idea</w:t>
      </w:r>
    </w:p>
    <w:p>
      <w:pPr>
        <w:keepLines w:val="0"/>
        <w:widowControl/>
        <w:spacing w:after="70"/>
      </w:pPr>
      <w:r>
        <w:rPr>
          <w:rFonts w:ascii="Aptos" w:hAnsi="Aptos"/>
          <w:i w:val="0"/>
          <w:color w:val="22313A"/>
          <w:sz w:val="24"/>
        </w:rPr>
        <w:t>Wilson reversed the usual question. Instead of asking how an institution could manage residents efficiently, she asked what help a person needed to retain preferences, privacy, relationships, and acceptable risks.</w:t>
      </w:r>
    </w:p>
    <w:p>
      <w:pPr>
        <w:pStyle w:val="ListBullet"/>
        <w:keepLines/>
        <w:widowControl/>
        <w:spacing w:after="40"/>
      </w:pPr>
      <w:r>
        <w:rPr>
          <w:rFonts w:ascii="Aptos" w:hAnsi="Aptos"/>
          <w:color w:val="22313A"/>
          <w:sz w:val="24"/>
        </w:rPr>
        <w:t>Housing should feel like home, not a hospital ward.</w:t>
      </w:r>
    </w:p>
    <w:p>
      <w:pPr>
        <w:pStyle w:val="ListBullet"/>
        <w:keepLines/>
        <w:widowControl/>
        <w:spacing w:after="40"/>
      </w:pPr>
      <w:r>
        <w:rPr>
          <w:rFonts w:ascii="Aptos" w:hAnsi="Aptos"/>
          <w:color w:val="22313A"/>
          <w:sz w:val="24"/>
        </w:rPr>
        <w:t>Assistance should not become total control.</w:t>
      </w:r>
    </w:p>
    <w:p>
      <w:pPr>
        <w:pStyle w:val="ListBullet"/>
        <w:keepLines/>
        <w:widowControl/>
        <w:spacing w:after="40"/>
      </w:pPr>
      <w:r>
        <w:rPr>
          <w:rFonts w:ascii="Aptos" w:hAnsi="Aptos"/>
          <w:color w:val="22313A"/>
          <w:sz w:val="24"/>
        </w:rPr>
        <w:t>Safety should support a life worth living—not replace it.</w:t>
      </w:r>
    </w:p>
    <w:p>
      <w:pPr>
        <w:pStyle w:val="Heading1"/>
        <w:keepNext/>
        <w:keepLines/>
        <w:widowControl/>
      </w:pPr>
      <w:r>
        <w:t>The First Practical Test: Park Place</w:t>
      </w:r>
    </w:p>
    <w:p>
      <w:pPr>
        <w:keepLines w:val="0"/>
        <w:widowControl/>
        <w:spacing w:after="70"/>
      </w:pPr>
      <w:r>
        <w:rPr>
          <w:rFonts w:ascii="Aptos" w:hAnsi="Aptos"/>
          <w:i w:val="0"/>
          <w:color w:val="22313A"/>
          <w:sz w:val="24"/>
        </w:rPr>
        <w:t>Wilson and her husband, gerontologist Michael DeShane, struggled for support because Medicaid generally paid for nursing homes, not flexible services in ordinary housing. They borrowed heavily and pressed ahead. In 1983, Park Place opened in Portland, Oregon, demonstrating the “Oregon model”: private apartments plus personal and nursing assistance.</w:t>
      </w:r>
    </w:p>
    <w:p>
      <w:pPr>
        <w:pStyle w:val="Heading2"/>
        <w:keepNext/>
        <w:keepLines/>
        <w:widowControl/>
      </w:pPr>
      <w:r>
        <w:t>What Park Place Changed</w:t>
      </w:r>
    </w:p>
    <w:p>
      <w:pPr>
        <w:pStyle w:val="ListBullet"/>
        <w:keepLines/>
        <w:widowControl/>
        <w:spacing w:after="40"/>
      </w:pPr>
      <w:r>
        <w:rPr>
          <w:rFonts w:ascii="Aptos" w:hAnsi="Aptos"/>
          <w:b/>
          <w:color w:val="22313A"/>
          <w:sz w:val="24"/>
        </w:rPr>
        <w:t>Private space:</w:t>
      </w:r>
      <w:r>
        <w:rPr>
          <w:rFonts w:ascii="Aptos" w:hAnsi="Aptos"/>
          <w:color w:val="22313A"/>
          <w:sz w:val="24"/>
        </w:rPr>
        <w:t xml:space="preserve"> apartments rather than institutional beds or wards.</w:t>
      </w:r>
    </w:p>
    <w:p>
      <w:pPr>
        <w:pStyle w:val="ListBullet"/>
        <w:keepLines/>
        <w:widowControl/>
        <w:spacing w:after="40"/>
      </w:pPr>
      <w:r>
        <w:rPr>
          <w:rFonts w:ascii="Aptos" w:hAnsi="Aptos"/>
          <w:b/>
          <w:color w:val="22313A"/>
          <w:sz w:val="24"/>
        </w:rPr>
        <w:t>Control:</w:t>
      </w:r>
      <w:r>
        <w:rPr>
          <w:rFonts w:ascii="Aptos" w:hAnsi="Aptos"/>
          <w:color w:val="22313A"/>
          <w:sz w:val="24"/>
        </w:rPr>
        <w:t xml:space="preserve"> residents could lock the door, arrange belongings, and direct the day.</w:t>
      </w:r>
    </w:p>
    <w:p>
      <w:pPr>
        <w:pStyle w:val="ListBullet"/>
        <w:keepLines/>
        <w:widowControl/>
        <w:spacing w:after="40"/>
      </w:pPr>
      <w:r>
        <w:rPr>
          <w:rFonts w:ascii="Aptos" w:hAnsi="Aptos"/>
          <w:b/>
          <w:color w:val="22313A"/>
          <w:sz w:val="24"/>
        </w:rPr>
        <w:t>Flexible help:</w:t>
      </w:r>
      <w:r>
        <w:rPr>
          <w:rFonts w:ascii="Aptos" w:hAnsi="Aptos"/>
          <w:color w:val="22313A"/>
          <w:sz w:val="24"/>
        </w:rPr>
        <w:t xml:space="preserve"> assistance with medicines, bathing, meals, and other needs.</w:t>
      </w:r>
    </w:p>
    <w:p>
      <w:pPr>
        <w:pStyle w:val="ListBullet"/>
        <w:keepLines/>
        <w:widowControl/>
        <w:spacing w:after="40"/>
      </w:pPr>
      <w:r>
        <w:rPr>
          <w:rFonts w:ascii="Aptos" w:hAnsi="Aptos"/>
          <w:b/>
          <w:color w:val="22313A"/>
          <w:sz w:val="24"/>
        </w:rPr>
        <w:t>Negotiated risk:</w:t>
      </w:r>
      <w:r>
        <w:rPr>
          <w:rFonts w:ascii="Aptos" w:hAnsi="Aptos"/>
          <w:color w:val="22313A"/>
          <w:sz w:val="24"/>
        </w:rPr>
        <w:t xml:space="preserve"> safety without surrendering all freedom.</w:t>
      </w:r>
    </w:p>
    <w:p>
      <w:pPr>
        <w:pStyle w:val="ListBullet"/>
        <w:keepLines/>
        <w:widowControl/>
        <w:spacing w:after="40"/>
      </w:pPr>
      <w:r>
        <w:rPr>
          <w:rFonts w:ascii="Aptos" w:hAnsi="Aptos"/>
          <w:b/>
          <w:color w:val="22313A"/>
          <w:sz w:val="24"/>
        </w:rPr>
        <w:t>Affordability:</w:t>
      </w:r>
      <w:r>
        <w:rPr>
          <w:rFonts w:ascii="Aptos" w:hAnsi="Aptos"/>
          <w:color w:val="22313A"/>
          <w:sz w:val="24"/>
        </w:rPr>
        <w:t xml:space="preserve"> inclusion of people with limited incomes.</w:t>
      </w:r>
    </w:p>
    <w:tbl>
      <w:tblPr>
        <w:tblW w:type="dxa" w:w="5069"/>
        <w:jc w:val="center"/>
        <w:tblLayout w:type="fixed"/>
        <w:tblLook w:firstColumn="1" w:firstRow="1" w:lastColumn="0" w:lastRow="0" w:noHBand="0" w:noVBand="1" w:val="04A0"/>
        <w:tblInd w:w="0" w:type="dxa"/>
        <w:tblBorders>
          <w:top w:val="single" w:sz="10" w:space="0" w:color="0F6B68"/>
          <w:left w:val="single" w:sz="10" w:space="0" w:color="0F6B68"/>
          <w:bottom w:val="single" w:sz="10" w:space="0" w:color="0F6B68"/>
          <w:right w:val="single" w:sz="10" w:space="0" w:color="0F6B68"/>
        </w:tblBorders>
      </w:tblPr>
      <w:tblGrid>
        <w:gridCol w:w="5069"/>
      </w:tblGrid>
      <w:tr>
        <w:trPr>
          <w:cantSplit/>
        </w:trPr>
        <w:tc>
          <w:tcPr>
            <w:tcW w:type="dxa" w:w="5069"/>
            <w:vAlign w:val="center"/>
            <w:shd w:fill="DDEFEA"/>
            <w:tcMar>
              <w:top w:w="90" w:type="dxa"/>
              <w:start w:w="140" w:type="dxa"/>
              <w:bottom w:w="90" w:type="dxa"/>
              <w:end w:w="140" w:type="dxa"/>
            </w:tcMar>
          </w:tcPr>
          <w:p>
            <w:pPr>
              <w:keepLines/>
              <w:spacing w:after="0"/>
            </w:pPr>
            <w:r>
              <w:rPr>
                <w:rFonts w:ascii="Aptos" w:hAnsi="Aptos"/>
                <w:b/>
                <w:color w:val="0F6B68"/>
                <w:sz w:val="24"/>
              </w:rPr>
              <w:t xml:space="preserve">THE BREAKTHROUGH  </w:t>
            </w:r>
            <w:r>
              <w:rPr>
                <w:rFonts w:ascii="Aptos" w:hAnsi="Aptos"/>
                <w:color w:val="22313A"/>
                <w:sz w:val="24"/>
              </w:rPr>
              <w:t>Park Place separated dependence from helplessness. A resident could need substantial assistance and still exercise agency.</w:t>
            </w:r>
          </w:p>
        </w:tc>
      </w:tr>
    </w:tbl>
    <w:p>
      <w:pPr>
        <w:widowControl/>
        <w:spacing w:after="0" w:before="0"/>
      </w:pPr>
    </w:p>
    <w:p>
      <w:pPr>
        <w:pStyle w:val="Heading1"/>
        <w:keepNext/>
        <w:keepLines/>
        <w:widowControl/>
      </w:pPr>
      <w:r>
        <w:t>A Short Tick-Tock of Wilson’s Work</w:t>
      </w:r>
    </w:p>
    <w:tbl>
      <w:tblPr>
        <w:tblW w:type="dxa" w:w="5069"/>
        <w:jc w:val="center"/>
        <w:tblLayout w:type="fixed"/>
        <w:tblLook w:firstColumn="1" w:firstRow="1" w:lastColumn="0" w:lastRow="0" w:noHBand="0" w:noVBand="1" w:val="04A0"/>
        <w:tblInd w:w="0" w:type="dxa"/>
        <w:tblBorders>
          <w:top w:val="single" w:sz="8" w:space="0" w:color="173B45"/>
          <w:left w:val="single" w:sz="8" w:space="0" w:color="173B45"/>
          <w:bottom w:val="single" w:sz="8" w:space="0" w:color="173B45"/>
          <w:right w:val="single" w:sz="8" w:space="0" w:color="173B45"/>
          <w:insideH w:val="single" w:sz="8" w:space="0" w:color="173B45"/>
          <w:insideV w:val="single" w:sz="8" w:space="0" w:color="173B45"/>
        </w:tblBorders>
      </w:tblPr>
      <w:tblGrid>
        <w:gridCol w:w="979"/>
        <w:gridCol w:w="4090"/>
      </w:tblGrid>
      <w:tr>
        <w:tc>
          <w:tcPr>
            <w:tcW w:type="dxa" w:w="979"/>
            <w:shd w:fill="173B45"/>
            <w:tcMar>
              <w:top w:w="65" w:type="dxa"/>
              <w:start w:w="90" w:type="dxa"/>
              <w:bottom w:w="65" w:type="dxa"/>
              <w:end w:w="90" w:type="dxa"/>
            </w:tcMar>
            <w:vAlign w:val="center"/>
          </w:tcPr>
          <w:p>
            <w:pPr>
              <w:jc w:val="center"/>
            </w:pPr>
            <w:r>
              <w:rPr>
                <w:rFonts w:ascii="Aptos" w:hAnsi="Aptos"/>
                <w:b/>
                <w:color w:val="FFFFFF"/>
                <w:sz w:val="24"/>
              </w:rPr>
              <w:t>1983</w:t>
            </w:r>
          </w:p>
        </w:tc>
        <w:tc>
          <w:tcPr>
            <w:tcW w:type="dxa" w:w="4090"/>
            <w:shd w:fill="FFFFFF"/>
            <w:tcMar>
              <w:top w:w="65" w:type="dxa"/>
              <w:start w:w="90" w:type="dxa"/>
              <w:bottom w:w="65" w:type="dxa"/>
              <w:end w:w="90" w:type="dxa"/>
            </w:tcMar>
            <w:vAlign w:val="center"/>
          </w:tcPr>
          <w:p>
            <w:pPr>
              <w:spacing w:after="0"/>
            </w:pPr>
            <w:r>
              <w:rPr>
                <w:rFonts w:ascii="Aptos" w:hAnsi="Aptos"/>
                <w:b/>
                <w:color w:val="173B45"/>
                <w:sz w:val="24"/>
              </w:rPr>
              <w:t xml:space="preserve">Park Place opens. </w:t>
            </w:r>
            <w:r>
              <w:rPr>
                <w:rFonts w:ascii="Aptos" w:hAnsi="Aptos"/>
                <w:color w:val="22313A"/>
                <w:sz w:val="24"/>
              </w:rPr>
              <w:t>Private apartments and individualized help demonstrate the Oregon model.</w:t>
            </w:r>
          </w:p>
        </w:tc>
      </w:tr>
    </w:tbl>
    <w:p>
      <w:pPr>
        <w:widowControl/>
        <w:spacing w:after="0"/>
      </w:pPr>
    </w:p>
    <w:tbl>
      <w:tblPr>
        <w:tblW w:type="dxa" w:w="5069"/>
        <w:jc w:val="center"/>
        <w:tblLayout w:type="fixed"/>
        <w:tblLook w:firstColumn="1" w:firstRow="1" w:lastColumn="0" w:lastRow="0" w:noHBand="0" w:noVBand="1" w:val="04A0"/>
        <w:tblInd w:w="0" w:type="dxa"/>
        <w:tblBorders>
          <w:top w:val="single" w:sz="8" w:space="0" w:color="B64E3A"/>
          <w:left w:val="single" w:sz="8" w:space="0" w:color="B64E3A"/>
          <w:bottom w:val="single" w:sz="8" w:space="0" w:color="B64E3A"/>
          <w:right w:val="single" w:sz="8" w:space="0" w:color="B64E3A"/>
          <w:insideH w:val="single" w:sz="8" w:space="0" w:color="B64E3A"/>
          <w:insideV w:val="single" w:sz="8" w:space="0" w:color="B64E3A"/>
        </w:tblBorders>
      </w:tblPr>
      <w:tblGrid>
        <w:gridCol w:w="979"/>
        <w:gridCol w:w="4090"/>
      </w:tblGrid>
      <w:tr>
        <w:tc>
          <w:tcPr>
            <w:tcW w:type="dxa" w:w="979"/>
            <w:shd w:fill="B64E3A"/>
            <w:tcMar>
              <w:top w:w="65" w:type="dxa"/>
              <w:start w:w="90" w:type="dxa"/>
              <w:bottom w:w="65" w:type="dxa"/>
              <w:end w:w="90" w:type="dxa"/>
            </w:tcMar>
            <w:vAlign w:val="center"/>
          </w:tcPr>
          <w:p>
            <w:pPr>
              <w:jc w:val="center"/>
            </w:pPr>
            <w:r>
              <w:rPr>
                <w:rFonts w:ascii="Aptos" w:hAnsi="Aptos"/>
                <w:b/>
                <w:color w:val="FFFFFF"/>
                <w:sz w:val="24"/>
              </w:rPr>
              <w:t>1988</w:t>
            </w:r>
          </w:p>
        </w:tc>
        <w:tc>
          <w:tcPr>
            <w:tcW w:type="dxa" w:w="4090"/>
            <w:shd w:fill="FFFFFF"/>
            <w:tcMar>
              <w:top w:w="65" w:type="dxa"/>
              <w:start w:w="90" w:type="dxa"/>
              <w:bottom w:w="65" w:type="dxa"/>
              <w:end w:w="90" w:type="dxa"/>
            </w:tcMar>
            <w:vAlign w:val="center"/>
          </w:tcPr>
          <w:p>
            <w:pPr>
              <w:spacing w:after="0"/>
            </w:pPr>
            <w:r>
              <w:rPr>
                <w:rFonts w:ascii="Aptos" w:hAnsi="Aptos"/>
                <w:b/>
                <w:color w:val="B64E3A"/>
                <w:sz w:val="24"/>
              </w:rPr>
              <w:t xml:space="preserve">Company formed. </w:t>
            </w:r>
            <w:r>
              <w:rPr>
                <w:rFonts w:ascii="Aptos" w:hAnsi="Aptos"/>
                <w:color w:val="22313A"/>
                <w:sz w:val="24"/>
              </w:rPr>
              <w:t>Concepts in Community Living, Inc. is incorporated to develop and manage residences.</w:t>
            </w:r>
          </w:p>
        </w:tc>
      </w:tr>
    </w:tbl>
    <w:p>
      <w:pPr>
        <w:widowControl/>
        <w:spacing w:after="0"/>
      </w:pPr>
    </w:p>
    <w:tbl>
      <w:tblPr>
        <w:tblW w:type="dxa" w:w="5069"/>
        <w:jc w:val="center"/>
        <w:tblLayout w:type="fixed"/>
        <w:tblLook w:firstColumn="1" w:firstRow="1" w:lastColumn="0" w:lastRow="0" w:noHBand="0" w:noVBand="1" w:val="04A0"/>
        <w:tblInd w:w="0" w:type="dxa"/>
        <w:tblBorders>
          <w:top w:val="single" w:sz="8" w:space="0" w:color="0F6B68"/>
          <w:left w:val="single" w:sz="8" w:space="0" w:color="0F6B68"/>
          <w:bottom w:val="single" w:sz="8" w:space="0" w:color="0F6B68"/>
          <w:right w:val="single" w:sz="8" w:space="0" w:color="0F6B68"/>
          <w:insideH w:val="single" w:sz="8" w:space="0" w:color="0F6B68"/>
          <w:insideV w:val="single" w:sz="8" w:space="0" w:color="0F6B68"/>
        </w:tblBorders>
      </w:tblPr>
      <w:tblGrid>
        <w:gridCol w:w="979"/>
        <w:gridCol w:w="4090"/>
      </w:tblGrid>
      <w:tr>
        <w:tc>
          <w:tcPr>
            <w:tcW w:type="dxa" w:w="979"/>
            <w:shd w:fill="0F6B68"/>
            <w:tcMar>
              <w:top w:w="65" w:type="dxa"/>
              <w:start w:w="90" w:type="dxa"/>
              <w:bottom w:w="65" w:type="dxa"/>
              <w:end w:w="90" w:type="dxa"/>
            </w:tcMar>
            <w:vAlign w:val="center"/>
          </w:tcPr>
          <w:p>
            <w:pPr>
              <w:jc w:val="center"/>
            </w:pPr>
            <w:r>
              <w:rPr>
                <w:rFonts w:ascii="Aptos" w:hAnsi="Aptos"/>
                <w:b/>
                <w:color w:val="FFFFFF"/>
                <w:sz w:val="24"/>
              </w:rPr>
              <w:t>1994</w:t>
            </w:r>
          </w:p>
        </w:tc>
        <w:tc>
          <w:tcPr>
            <w:tcW w:type="dxa" w:w="4090"/>
            <w:shd w:fill="FFFFFF"/>
            <w:tcMar>
              <w:top w:w="65" w:type="dxa"/>
              <w:start w:w="90" w:type="dxa"/>
              <w:bottom w:w="65" w:type="dxa"/>
              <w:end w:w="90" w:type="dxa"/>
            </w:tcMar>
            <w:vAlign w:val="center"/>
          </w:tcPr>
          <w:p>
            <w:pPr>
              <w:spacing w:after="0"/>
            </w:pPr>
            <w:r>
              <w:rPr>
                <w:rFonts w:ascii="Aptos" w:hAnsi="Aptos"/>
                <w:b/>
                <w:color w:val="0F6B68"/>
                <w:sz w:val="24"/>
              </w:rPr>
              <w:t xml:space="preserve">National expansion. </w:t>
            </w:r>
            <w:r>
              <w:rPr>
                <w:rFonts w:ascii="Aptos" w:hAnsi="Aptos"/>
                <w:color w:val="22313A"/>
                <w:sz w:val="24"/>
              </w:rPr>
              <w:t>Assisted Living Concepts, Inc. is organized as a corporate spinoff.</w:t>
            </w:r>
          </w:p>
        </w:tc>
      </w:tr>
    </w:tbl>
    <w:p>
      <w:pPr>
        <w:widowControl/>
        <w:spacing w:after="0"/>
      </w:pPr>
    </w:p>
    <w:tbl>
      <w:tblPr>
        <w:tblW w:type="dxa" w:w="5069"/>
        <w:jc w:val="center"/>
        <w:tblLayout w:type="fixed"/>
        <w:tblLook w:firstColumn="1" w:firstRow="1" w:lastColumn="0" w:lastRow="0" w:noHBand="0" w:noVBand="1" w:val="04A0"/>
        <w:tblInd w:w="0" w:type="dxa"/>
        <w:tblBorders>
          <w:top w:val="single" w:sz="8" w:space="0" w:color="173B45"/>
          <w:left w:val="single" w:sz="8" w:space="0" w:color="173B45"/>
          <w:bottom w:val="single" w:sz="8" w:space="0" w:color="173B45"/>
          <w:right w:val="single" w:sz="8" w:space="0" w:color="173B45"/>
          <w:insideH w:val="single" w:sz="8" w:space="0" w:color="173B45"/>
          <w:insideV w:val="single" w:sz="8" w:space="0" w:color="173B45"/>
        </w:tblBorders>
      </w:tblPr>
      <w:tblGrid>
        <w:gridCol w:w="979"/>
        <w:gridCol w:w="4090"/>
      </w:tblGrid>
      <w:tr>
        <w:tc>
          <w:tcPr>
            <w:tcW w:type="dxa" w:w="979"/>
            <w:shd w:fill="173B45"/>
            <w:tcMar>
              <w:top w:w="65" w:type="dxa"/>
              <w:start w:w="90" w:type="dxa"/>
              <w:bottom w:w="65" w:type="dxa"/>
              <w:end w:w="90" w:type="dxa"/>
            </w:tcMar>
            <w:vAlign w:val="center"/>
          </w:tcPr>
          <w:p>
            <w:pPr>
              <w:jc w:val="center"/>
            </w:pPr>
            <w:r>
              <w:rPr>
                <w:rFonts w:ascii="Aptos" w:hAnsi="Aptos"/>
                <w:b/>
                <w:color w:val="FFFFFF"/>
                <w:sz w:val="24"/>
              </w:rPr>
              <w:t>2001</w:t>
            </w:r>
          </w:p>
        </w:tc>
        <w:tc>
          <w:tcPr>
            <w:tcW w:type="dxa" w:w="4090"/>
            <w:shd w:fill="FFFFFF"/>
            <w:tcMar>
              <w:top w:w="65" w:type="dxa"/>
              <w:start w:w="90" w:type="dxa"/>
              <w:bottom w:w="65" w:type="dxa"/>
              <w:end w:w="90" w:type="dxa"/>
            </w:tcMar>
            <w:vAlign w:val="center"/>
          </w:tcPr>
          <w:p>
            <w:pPr>
              <w:spacing w:after="0"/>
            </w:pPr>
            <w:r>
              <w:rPr>
                <w:rFonts w:ascii="Aptos" w:hAnsi="Aptos"/>
                <w:b/>
                <w:color w:val="173B45"/>
                <w:sz w:val="24"/>
              </w:rPr>
              <w:t xml:space="preserve">A new mission. </w:t>
            </w:r>
            <w:r>
              <w:rPr>
                <w:rFonts w:ascii="Aptos" w:hAnsi="Aptos"/>
                <w:color w:val="22313A"/>
                <w:sz w:val="24"/>
              </w:rPr>
              <w:t>The Jessie F. Richardson Foundation extends Wilson’s concern for underserved elders.</w:t>
            </w:r>
          </w:p>
        </w:tc>
      </w:tr>
    </w:tbl>
    <w:p>
      <w:pPr>
        <w:widowControl/>
        <w:spacing w:after="0"/>
      </w:pPr>
    </w:p>
    <w:p>
      <w:pPr>
        <w:pStyle w:val="Heading1"/>
        <w:keepNext/>
        <w:keepLines/>
        <w:widowControl/>
      </w:pPr>
      <w:r>
        <w:t>Names That Are Easy to Confuse</w:t>
      </w:r>
    </w:p>
    <w:p>
      <w:pPr>
        <w:pStyle w:val="ListBullet"/>
        <w:keepLines/>
        <w:widowControl/>
        <w:spacing w:after="40"/>
      </w:pPr>
      <w:r>
        <w:rPr>
          <w:rFonts w:ascii="Aptos" w:hAnsi="Aptos"/>
          <w:b/>
          <w:color w:val="22313A"/>
          <w:sz w:val="24"/>
        </w:rPr>
        <w:t>Park Place (1983):</w:t>
      </w:r>
      <w:r>
        <w:rPr>
          <w:rFonts w:ascii="Aptos" w:hAnsi="Aptos"/>
          <w:color w:val="22313A"/>
          <w:sz w:val="24"/>
        </w:rPr>
        <w:t xml:space="preserve"> Wilson’s pioneering Portland residence.</w:t>
      </w:r>
    </w:p>
    <w:p>
      <w:pPr>
        <w:pStyle w:val="ListBullet"/>
        <w:keepLines/>
        <w:widowControl/>
        <w:spacing w:after="40"/>
      </w:pPr>
      <w:r>
        <w:rPr>
          <w:rFonts w:ascii="Aptos" w:hAnsi="Aptos"/>
          <w:b/>
          <w:color w:val="22313A"/>
          <w:sz w:val="24"/>
        </w:rPr>
        <w:t>Concepts in Community Living, Inc. (1988):</w:t>
      </w:r>
      <w:r>
        <w:rPr>
          <w:rFonts w:ascii="Aptos" w:hAnsi="Aptos"/>
          <w:color w:val="22313A"/>
          <w:sz w:val="24"/>
        </w:rPr>
        <w:t xml:space="preserve"> Wilson and DeShane’s original operating and advisory company.</w:t>
      </w:r>
    </w:p>
    <w:p>
      <w:pPr>
        <w:pStyle w:val="ListBullet"/>
        <w:keepLines/>
        <w:widowControl/>
        <w:spacing w:after="40"/>
      </w:pPr>
      <w:r>
        <w:rPr>
          <w:rFonts w:ascii="Aptos" w:hAnsi="Aptos"/>
          <w:b/>
          <w:color w:val="22313A"/>
          <w:sz w:val="24"/>
        </w:rPr>
        <w:t>Assisted Living Concepts, Inc. (1994):</w:t>
      </w:r>
      <w:r>
        <w:rPr>
          <w:rFonts w:ascii="Aptos" w:hAnsi="Aptos"/>
          <w:color w:val="22313A"/>
          <w:sz w:val="24"/>
        </w:rPr>
        <w:t xml:space="preserve"> a corporate spinoff for national expansion.</w:t>
      </w:r>
    </w:p>
    <w:p>
      <w:pPr>
        <w:pStyle w:val="ListBullet"/>
        <w:keepLines/>
        <w:widowControl/>
        <w:spacing w:after="40"/>
      </w:pPr>
      <w:r>
        <w:rPr>
          <w:rFonts w:ascii="Aptos" w:hAnsi="Aptos"/>
          <w:b/>
          <w:color w:val="22313A"/>
          <w:sz w:val="24"/>
        </w:rPr>
        <w:t>Jessie F. Richardson Foundation (2001):</w:t>
      </w:r>
      <w:r>
        <w:rPr>
          <w:rFonts w:ascii="Aptos" w:hAnsi="Aptos"/>
          <w:color w:val="22313A"/>
          <w:sz w:val="24"/>
        </w:rPr>
        <w:t xml:space="preserve"> Wilson’s nonprofit for vulnerable elders.</w:t>
      </w:r>
    </w:p>
    <w:tbl>
      <w:tblPr>
        <w:tblW w:type="dxa" w:w="5069"/>
        <w:jc w:val="center"/>
        <w:tblLayout w:type="fixed"/>
        <w:tblLook w:firstColumn="1" w:firstRow="1" w:lastColumn="0" w:lastRow="0" w:noHBand="0" w:noVBand="1" w:val="04A0"/>
        <w:tblInd w:w="0" w:type="dxa"/>
        <w:tblBorders>
          <w:top w:val="single" w:sz="10" w:space="0" w:color="C99A2E"/>
          <w:left w:val="single" w:sz="10" w:space="0" w:color="C99A2E"/>
          <w:bottom w:val="single" w:sz="10" w:space="0" w:color="C99A2E"/>
          <w:right w:val="single" w:sz="10" w:space="0" w:color="C99A2E"/>
        </w:tblBorders>
      </w:tblPr>
      <w:tblGrid>
        <w:gridCol w:w="5069"/>
      </w:tblGrid>
      <w:tr>
        <w:trPr>
          <w:cantSplit/>
        </w:trPr>
        <w:tc>
          <w:tcPr>
            <w:tcW w:type="dxa" w:w="5069"/>
            <w:vAlign w:val="center"/>
            <w:shd w:fill="FFF2CC"/>
            <w:tcMar>
              <w:top w:w="90" w:type="dxa"/>
              <w:start w:w="140" w:type="dxa"/>
              <w:bottom w:w="90" w:type="dxa"/>
              <w:end w:w="140" w:type="dxa"/>
            </w:tcMar>
          </w:tcPr>
          <w:p>
            <w:pPr>
              <w:keepLines/>
              <w:spacing w:after="0"/>
            </w:pPr>
            <w:r>
              <w:rPr>
                <w:rFonts w:ascii="Aptos" w:hAnsi="Aptos"/>
                <w:b/>
                <w:color w:val="C99A2E"/>
                <w:sz w:val="24"/>
              </w:rPr>
              <w:t xml:space="preserve">THE SHORT ANSWER  </w:t>
            </w:r>
            <w:r>
              <w:rPr>
                <w:rFonts w:ascii="Aptos" w:hAnsi="Aptos"/>
                <w:color w:val="22313A"/>
                <w:sz w:val="24"/>
              </w:rPr>
              <w:t>The company most directly associated with Wilson’s original assisted-living work was Concepts in Community Living, Inc.</w:t>
            </w:r>
          </w:p>
        </w:tc>
      </w:tr>
    </w:tbl>
    <w:p>
      <w:pPr>
        <w:widowControl/>
        <w:spacing w:after="0" w:before="0"/>
      </w:pPr>
    </w:p>
    <w:p>
      <w:pPr>
        <w:pStyle w:val="Heading1"/>
        <w:keepNext/>
        <w:keepLines/>
        <w:widowControl/>
      </w:pPr>
      <w:r>
        <w:t>What “Assisted Living” Originally Meant</w:t>
      </w:r>
    </w:p>
    <w:p>
      <w:pPr>
        <w:keepLines w:val="0"/>
        <w:widowControl/>
        <w:spacing w:after="70"/>
      </w:pPr>
      <w:r>
        <w:rPr>
          <w:rFonts w:ascii="Aptos" w:hAnsi="Aptos"/>
          <w:i w:val="0"/>
          <w:color w:val="22313A"/>
          <w:sz w:val="24"/>
        </w:rPr>
        <w:t>Wilson joined three elements older systems separated: a real home, services that increased as needs changed, and consumer choice. The governing values mattered more than the architecture.</w:t>
      </w:r>
    </w:p>
    <w:p>
      <w:pPr>
        <w:pStyle w:val="ListBullet"/>
        <w:keepLines/>
        <w:widowControl/>
        <w:spacing w:after="40"/>
      </w:pPr>
      <w:r>
        <w:rPr>
          <w:rFonts w:ascii="Aptos" w:hAnsi="Aptos"/>
          <w:b/>
          <w:color w:val="22313A"/>
          <w:sz w:val="24"/>
        </w:rPr>
        <w:t>Home:</w:t>
      </w:r>
      <w:r>
        <w:rPr>
          <w:rFonts w:ascii="Aptos" w:hAnsi="Aptos"/>
          <w:color w:val="22313A"/>
          <w:sz w:val="24"/>
        </w:rPr>
        <w:t xml:space="preserve"> a private, recognizable place under the resident’s control.</w:t>
      </w:r>
    </w:p>
    <w:p>
      <w:pPr>
        <w:pStyle w:val="ListBullet"/>
        <w:keepLines/>
        <w:widowControl/>
        <w:spacing w:after="40"/>
      </w:pPr>
      <w:r>
        <w:rPr>
          <w:rFonts w:ascii="Aptos" w:hAnsi="Aptos"/>
          <w:b/>
          <w:color w:val="22313A"/>
          <w:sz w:val="24"/>
        </w:rPr>
        <w:t>Help:</w:t>
      </w:r>
      <w:r>
        <w:rPr>
          <w:rFonts w:ascii="Aptos" w:hAnsi="Aptos"/>
          <w:color w:val="22313A"/>
          <w:sz w:val="24"/>
        </w:rPr>
        <w:t xml:space="preserve"> reliable support with the activities of daily living.</w:t>
      </w:r>
    </w:p>
    <w:p>
      <w:pPr>
        <w:pStyle w:val="ListBullet"/>
        <w:keepLines/>
        <w:widowControl/>
        <w:spacing w:after="40"/>
      </w:pPr>
      <w:r>
        <w:rPr>
          <w:rFonts w:ascii="Aptos" w:hAnsi="Aptos"/>
          <w:b/>
          <w:color w:val="22313A"/>
          <w:sz w:val="24"/>
        </w:rPr>
        <w:t>Agency:</w:t>
      </w:r>
      <w:r>
        <w:rPr>
          <w:rFonts w:ascii="Aptos" w:hAnsi="Aptos"/>
          <w:color w:val="22313A"/>
          <w:sz w:val="24"/>
        </w:rPr>
        <w:t xml:space="preserve"> the resident continues to make consequential decisions.</w:t>
      </w:r>
    </w:p>
    <w:p>
      <w:pPr>
        <w:pStyle w:val="ListBullet"/>
        <w:keepLines/>
        <w:widowControl/>
        <w:spacing w:after="40"/>
      </w:pPr>
      <w:r>
        <w:rPr>
          <w:rFonts w:ascii="Aptos" w:hAnsi="Aptos"/>
          <w:b/>
          <w:color w:val="22313A"/>
          <w:sz w:val="24"/>
        </w:rPr>
        <w:t>Dignity:</w:t>
      </w:r>
      <w:r>
        <w:rPr>
          <w:rFonts w:ascii="Aptos" w:hAnsi="Aptos"/>
          <w:color w:val="22313A"/>
          <w:sz w:val="24"/>
        </w:rPr>
        <w:t xml:space="preserve"> bodily dependence does not erase adulthood.</w:t>
      </w:r>
    </w:p>
    <w:p>
      <w:pPr>
        <w:pStyle w:val="ListBullet"/>
        <w:keepLines/>
        <w:widowControl/>
        <w:spacing w:after="40"/>
      </w:pPr>
      <w:r>
        <w:rPr>
          <w:rFonts w:ascii="Aptos" w:hAnsi="Aptos"/>
          <w:b/>
          <w:color w:val="22313A"/>
          <w:sz w:val="24"/>
        </w:rPr>
        <w:t>Purpose:</w:t>
      </w:r>
      <w:r>
        <w:rPr>
          <w:rFonts w:ascii="Aptos" w:hAnsi="Aptos"/>
          <w:color w:val="22313A"/>
          <w:sz w:val="24"/>
        </w:rPr>
        <w:t xml:space="preserve"> daily life should still contain relationships, pleasures, and reasons to get up.</w:t>
      </w:r>
    </w:p>
    <w:p>
      <w:pPr>
        <w:pStyle w:val="Heading2"/>
        <w:keepNext/>
        <w:keepLines/>
        <w:widowControl/>
      </w:pPr>
      <w:r>
        <w:t>The Model’s Success—and Its Dilution</w:t>
      </w:r>
    </w:p>
    <w:p>
      <w:pPr>
        <w:keepLines w:val="0"/>
        <w:widowControl/>
        <w:spacing w:after="70"/>
      </w:pPr>
      <w:r>
        <w:rPr>
          <w:rFonts w:ascii="Aptos" w:hAnsi="Aptos"/>
          <w:i w:val="0"/>
          <w:color w:val="22313A"/>
          <w:sz w:val="24"/>
        </w:rPr>
        <w:t>Assisted living spread rapidly, attracting capital and achieving scale. But the phrase also became a marketing label for facilities that did not preserve the original commitment to autonomy. Wilson later described explosive growth, Wall Street money, diluted ideals, and rising quality concerns. The name alone does not prove that a facility follows her philosophy.</w:t>
      </w:r>
    </w:p>
    <w:p>
      <w:pPr>
        <w:pStyle w:val="Heading1"/>
        <w:keepNext/>
        <w:keepLines/>
        <w:widowControl/>
      </w:pPr>
      <w:r>
        <w:t>How Wilson’s Story Fits Being Mortal</w:t>
      </w:r>
    </w:p>
    <w:p>
      <w:pPr>
        <w:keepLines w:val="0"/>
        <w:widowControl/>
        <w:spacing w:after="70"/>
      </w:pPr>
      <w:r>
        <w:rPr>
          <w:rFonts w:ascii="Aptos" w:hAnsi="Aptos"/>
          <w:i w:val="0"/>
          <w:color w:val="22313A"/>
          <w:sz w:val="24"/>
        </w:rPr>
        <w:t>Chapter 4, “Assistance,” follows Gawande’s movement from independence to frailty and dependence. Wilson provides the constructive answer: dependence need not mean institutional surrender.</w:t>
      </w:r>
    </w:p>
    <w:p>
      <w:pPr>
        <w:pStyle w:val="ListBullet"/>
        <w:keepLines/>
        <w:widowControl/>
        <w:spacing w:after="40"/>
      </w:pPr>
      <w:r>
        <w:rPr>
          <w:rFonts w:ascii="Aptos" w:hAnsi="Aptos"/>
          <w:b/>
          <w:color w:val="22313A"/>
          <w:sz w:val="24"/>
        </w:rPr>
        <w:t>Chapter 2:</w:t>
      </w:r>
      <w:r>
        <w:rPr>
          <w:rFonts w:ascii="Aptos" w:hAnsi="Aptos"/>
          <w:color w:val="22313A"/>
          <w:sz w:val="24"/>
        </w:rPr>
        <w:t xml:space="preserve"> the body becomes less reliable.</w:t>
      </w:r>
    </w:p>
    <w:p>
      <w:pPr>
        <w:pStyle w:val="ListBullet"/>
        <w:keepLines/>
        <w:widowControl/>
        <w:spacing w:after="40"/>
      </w:pPr>
      <w:r>
        <w:rPr>
          <w:rFonts w:ascii="Aptos" w:hAnsi="Aptos"/>
          <w:b/>
          <w:color w:val="22313A"/>
          <w:sz w:val="24"/>
        </w:rPr>
        <w:t>Chapter 3:</w:t>
      </w:r>
      <w:r>
        <w:rPr>
          <w:rFonts w:ascii="Aptos" w:hAnsi="Aptos"/>
          <w:color w:val="22313A"/>
          <w:sz w:val="24"/>
        </w:rPr>
        <w:t xml:space="preserve"> nursing-home dependence can sacrifice privacy and choice.</w:t>
      </w:r>
    </w:p>
    <w:p>
      <w:pPr>
        <w:pStyle w:val="ListBullet"/>
        <w:keepLines/>
        <w:widowControl/>
        <w:spacing w:after="40"/>
      </w:pPr>
      <w:r>
        <w:rPr>
          <w:rFonts w:ascii="Aptos" w:hAnsi="Aptos"/>
          <w:b/>
          <w:color w:val="22313A"/>
          <w:sz w:val="24"/>
        </w:rPr>
        <w:t>Chapter 4:</w:t>
      </w:r>
      <w:r>
        <w:rPr>
          <w:rFonts w:ascii="Aptos" w:hAnsi="Aptos"/>
          <w:color w:val="22313A"/>
          <w:sz w:val="24"/>
        </w:rPr>
        <w:t xml:space="preserve"> assistance can preserve authorship of daily life.</w:t>
      </w:r>
    </w:p>
    <w:tbl>
      <w:tblPr>
        <w:tblW w:type="dxa" w:w="5069"/>
        <w:jc w:val="center"/>
        <w:tblLayout w:type="fixed"/>
        <w:tblLook w:firstColumn="1" w:firstRow="1" w:lastColumn="0" w:lastRow="0" w:noHBand="0" w:noVBand="1" w:val="04A0"/>
        <w:tblInd w:w="0" w:type="dxa"/>
        <w:tblBorders>
          <w:top w:val="single" w:sz="10" w:space="0" w:color="B64E3A"/>
          <w:left w:val="single" w:sz="10" w:space="0" w:color="B64E3A"/>
          <w:bottom w:val="single" w:sz="10" w:space="0" w:color="B64E3A"/>
          <w:right w:val="single" w:sz="10" w:space="0" w:color="B64E3A"/>
        </w:tblBorders>
      </w:tblPr>
      <w:tblGrid>
        <w:gridCol w:w="5069"/>
      </w:tblGrid>
      <w:tr>
        <w:trPr>
          <w:cantSplit/>
        </w:trPr>
        <w:tc>
          <w:tcPr>
            <w:tcW w:type="dxa" w:w="5069"/>
            <w:vAlign w:val="center"/>
            <w:shd w:fill="F8E5DE"/>
            <w:tcMar>
              <w:top w:w="90" w:type="dxa"/>
              <w:start w:w="140" w:type="dxa"/>
              <w:bottom w:w="90" w:type="dxa"/>
              <w:end w:w="140" w:type="dxa"/>
            </w:tcMar>
          </w:tcPr>
          <w:p>
            <w:pPr>
              <w:keepLines/>
              <w:spacing w:after="0"/>
            </w:pPr>
            <w:r>
              <w:rPr>
                <w:rFonts w:ascii="Aptos" w:hAnsi="Aptos"/>
                <w:b/>
                <w:color w:val="B64E3A"/>
                <w:sz w:val="24"/>
              </w:rPr>
              <w:t xml:space="preserve">GAWANDE’S GOVERNING CONTRAST  </w:t>
            </w:r>
            <w:r>
              <w:rPr>
                <w:rFonts w:ascii="Aptos" w:hAnsi="Aptos"/>
                <w:color w:val="22313A"/>
                <w:sz w:val="24"/>
              </w:rPr>
              <w:t>Traditional institutions organize life around safety, efficiency, and liability. Wilson’s model asks how safety can serve what matters to the resident.</w:t>
            </w:r>
          </w:p>
        </w:tc>
      </w:tr>
    </w:tbl>
    <w:p>
      <w:pPr>
        <w:widowControl/>
        <w:spacing w:after="0" w:before="0"/>
      </w:pPr>
    </w:p>
    <w:p>
      <w:pPr>
        <w:pStyle w:val="Heading2"/>
        <w:keepNext/>
        <w:keepLines/>
        <w:widowControl/>
      </w:pPr>
      <w:r>
        <w:t>Why Agency Matters</w:t>
      </w:r>
    </w:p>
    <w:p>
      <w:pPr>
        <w:keepLines w:val="0"/>
        <w:widowControl/>
        <w:spacing w:after="70"/>
      </w:pPr>
      <w:r>
        <w:rPr>
          <w:rFonts w:ascii="Aptos" w:hAnsi="Aptos"/>
          <w:i w:val="0"/>
          <w:color w:val="22313A"/>
          <w:sz w:val="24"/>
        </w:rPr>
        <w:t>Agency is not complete independence. A person may need help dressing, taking medicine, or moving safely and still choose when to wake, what to eat, whom to see, and which risks are worthwhile. Wilson designed care around that distinction. Her model also complements Maslow: care may provide food, shelter, and safety while neglecting belonging, esteem, identity, and purpose.</w:t>
      </w:r>
    </w:p>
    <w:p>
      <w:pPr>
        <w:pStyle w:val="Heading1"/>
        <w:keepNext/>
        <w:keepLines/>
        <w:widowControl/>
      </w:pPr>
      <w:r>
        <w:t>A Practical Test for Any Facility</w:t>
      </w:r>
    </w:p>
    <w:p>
      <w:pPr>
        <w:keepLines w:val="0"/>
        <w:widowControl/>
        <w:spacing w:after="70"/>
      </w:pPr>
      <w:r>
        <w:rPr>
          <w:rFonts w:ascii="Aptos" w:hAnsi="Aptos"/>
          <w:i w:val="0"/>
          <w:color w:val="22313A"/>
          <w:sz w:val="24"/>
        </w:rPr>
        <w:t>The label “assisted living” is not enough. These questions test whether Wilson’s values are present:</w:t>
      </w:r>
    </w:p>
    <w:p>
      <w:pPr>
        <w:keepLines/>
        <w:widowControl/>
        <w:numPr>
          <w:ilvl w:val="0"/>
          <w:numId w:val="10"/>
        </w:numPr>
        <w:spacing w:after="40"/>
        <w:ind w:left="540" w:hanging="271"/>
      </w:pPr>
      <w:r>
        <w:rPr>
          <w:rFonts w:ascii="Aptos" w:hAnsi="Aptos"/>
          <w:color w:val="22313A"/>
          <w:sz w:val="24"/>
        </w:rPr>
        <w:t>Who controls the daily schedule—and can residents choose their own routines?</w:t>
      </w:r>
    </w:p>
    <w:p>
      <w:pPr>
        <w:keepLines/>
        <w:widowControl/>
        <w:numPr>
          <w:ilvl w:val="0"/>
          <w:numId w:val="10"/>
        </w:numPr>
        <w:spacing w:after="40"/>
        <w:ind w:left="540" w:hanging="271"/>
      </w:pPr>
      <w:r>
        <w:rPr>
          <w:rFonts w:ascii="Aptos" w:hAnsi="Aptos"/>
          <w:color w:val="22313A"/>
          <w:sz w:val="24"/>
        </w:rPr>
        <w:t>Is the apartment private, and are ordinary risks negotiated instead of automatically forbidden?</w:t>
      </w:r>
    </w:p>
    <w:p>
      <w:pPr>
        <w:keepLines/>
        <w:widowControl/>
        <w:numPr>
          <w:ilvl w:val="0"/>
          <w:numId w:val="10"/>
        </w:numPr>
        <w:spacing w:after="40"/>
        <w:ind w:left="540" w:hanging="271"/>
      </w:pPr>
      <w:r>
        <w:rPr>
          <w:rFonts w:ascii="Aptos" w:hAnsi="Aptos"/>
          <w:color w:val="22313A"/>
          <w:sz w:val="24"/>
        </w:rPr>
        <w:t>Does the care plan begin with what matters to the person?</w:t>
      </w:r>
    </w:p>
    <w:p>
      <w:pPr>
        <w:keepLines/>
        <w:widowControl/>
        <w:numPr>
          <w:ilvl w:val="0"/>
          <w:numId w:val="10"/>
        </w:numPr>
        <w:spacing w:after="40"/>
        <w:ind w:left="540" w:hanging="271"/>
      </w:pPr>
      <w:r>
        <w:rPr>
          <w:rFonts w:ascii="Aptos" w:hAnsi="Aptos"/>
          <w:color w:val="22313A"/>
          <w:sz w:val="24"/>
        </w:rPr>
        <w:t>Does the resident still have relationships, pleasures, roles, and purpose?</w:t>
      </w:r>
    </w:p>
    <w:p>
      <w:pPr>
        <w:widowControl/>
        <w:sectPr>
          <w:headerReference w:type="default" r:id="rId17"/>
          <w:headerReference w:type="first" r:id="rId18"/>
          <w:headerReference w:type="even" r:id="rId19"/>
          <w:footerReference w:type="default" r:id="rId20"/>
          <w:footerReference w:type="first" r:id="rId21"/>
          <w:footerReference w:type="even" r:id="rId22"/>
          <w:type w:val="continuous"/>
          <w:pgSz w:w="12240" w:h="15840"/>
          <w:pgMar w:top="835" w:right="835" w:bottom="835" w:left="835" w:header="360" w:footer="403" w:gutter="0"/>
          <w:cols w:space="432" w:num="2" w:equalWidth="1"/>
          <w:docGrid w:linePitch="360"/>
        </w:sectPr>
      </w:pPr>
    </w:p>
    <w:p>
      <w:pPr>
        <w:pStyle w:val="Heading1"/>
        <w:keepNext/>
        <w:keepLines/>
        <w:widowControl/>
      </w:pPr>
      <w:r>
        <w:t>Wilson’s Later Work and Legacy</w:t>
      </w:r>
    </w:p>
    <w:p>
      <w:pPr>
        <w:keepLines w:val="0"/>
        <w:widowControl/>
        <w:spacing w:after="70"/>
      </w:pPr>
      <w:r>
        <w:rPr>
          <w:rFonts w:ascii="Aptos" w:hAnsi="Aptos"/>
          <w:i w:val="0"/>
          <w:color w:val="22313A"/>
          <w:sz w:val="24"/>
        </w:rPr>
        <w:t>After leaving corporate assisted living, Wilson returned to people with the fewest resources. Through the Jessie F. Richardson Foundation, she supported community-based elder care in the United States and Nicaragua. Her 2007 history records the movement’s idealism, expansion, and danger of losing its founding values.</w:t>
      </w:r>
    </w:p>
    <w:p>
      <w:pPr>
        <w:pStyle w:val="Heading2"/>
        <w:keepNext/>
        <w:keepLines/>
        <w:widowControl/>
      </w:pPr>
      <w:r>
        <w:t>A Balanced Assessment</w:t>
      </w:r>
    </w:p>
    <w:p>
      <w:pPr>
        <w:pStyle w:val="ListBullet"/>
        <w:keepLines/>
        <w:widowControl/>
        <w:spacing w:after="40"/>
      </w:pPr>
      <w:r>
        <w:rPr>
          <w:rFonts w:ascii="Aptos" w:hAnsi="Aptos"/>
          <w:b/>
          <w:color w:val="22313A"/>
          <w:sz w:val="24"/>
        </w:rPr>
        <w:t>Achievement:</w:t>
      </w:r>
      <w:r>
        <w:rPr>
          <w:rFonts w:ascii="Aptos" w:hAnsi="Aptos"/>
          <w:color w:val="22313A"/>
          <w:sz w:val="24"/>
        </w:rPr>
        <w:t xml:space="preserve"> substantial care in a residential setting need not erase autonomy.</w:t>
      </w:r>
    </w:p>
    <w:p>
      <w:pPr>
        <w:pStyle w:val="ListBullet"/>
        <w:keepLines/>
        <w:widowControl/>
        <w:spacing w:after="40"/>
      </w:pPr>
      <w:r>
        <w:rPr>
          <w:rFonts w:ascii="Aptos" w:hAnsi="Aptos"/>
          <w:b/>
          <w:color w:val="22313A"/>
          <w:sz w:val="24"/>
        </w:rPr>
        <w:t>Social insight:</w:t>
      </w:r>
      <w:r>
        <w:rPr>
          <w:rFonts w:ascii="Aptos" w:hAnsi="Aptos"/>
          <w:color w:val="22313A"/>
          <w:sz w:val="24"/>
        </w:rPr>
        <w:t xml:space="preserve"> poor people deserved dignity and choice, not merely a cheaper institutional bed.</w:t>
      </w:r>
    </w:p>
    <w:p>
      <w:pPr>
        <w:pStyle w:val="ListBullet"/>
        <w:keepLines/>
        <w:widowControl/>
        <w:spacing w:after="40"/>
      </w:pPr>
      <w:r>
        <w:rPr>
          <w:rFonts w:ascii="Aptos" w:hAnsi="Aptos"/>
          <w:b/>
          <w:color w:val="22313A"/>
          <w:sz w:val="24"/>
        </w:rPr>
        <w:t>Unresolved problem:</w:t>
      </w:r>
      <w:r>
        <w:rPr>
          <w:rFonts w:ascii="Aptos" w:hAnsi="Aptos"/>
          <w:color w:val="22313A"/>
          <w:sz w:val="24"/>
        </w:rPr>
        <w:t xml:space="preserve"> commercialization sometimes preserved the label while weakening the philosophy.</w:t>
      </w:r>
    </w:p>
    <w:p>
      <w:pPr>
        <w:pStyle w:val="ListBullet"/>
        <w:keepLines/>
        <w:widowControl/>
        <w:spacing w:after="40"/>
      </w:pPr>
      <w:r>
        <w:rPr>
          <w:rFonts w:ascii="Aptos" w:hAnsi="Aptos"/>
          <w:b/>
          <w:color w:val="22313A"/>
          <w:sz w:val="24"/>
        </w:rPr>
        <w:t>Continuing lesson:</w:t>
      </w:r>
      <w:r>
        <w:rPr>
          <w:rFonts w:ascii="Aptos" w:hAnsi="Aptos"/>
          <w:color w:val="22313A"/>
          <w:sz w:val="24"/>
        </w:rPr>
        <w:t xml:space="preserve"> judge care by the life it permits, not only the harms it prevents.</w:t>
      </w:r>
    </w:p>
    <w:p>
      <w:pPr>
        <w:widowControl/>
        <w:spacing w:before="0" w:after="0"/>
      </w:pPr>
      <w:r>
        <w:br w:type="column"/>
      </w:r>
    </w:p>
    <w:tbl>
      <w:tblPr>
        <w:tblW w:type="dxa" w:w="5069"/>
        <w:jc w:val="center"/>
        <w:tblLayout w:type="fixed"/>
        <w:tblLook w:firstColumn="1" w:firstRow="1" w:lastColumn="0" w:lastRow="0" w:noHBand="0" w:noVBand="1" w:val="04A0"/>
        <w:tblInd w:w="0" w:type="dxa"/>
        <w:tblBorders>
          <w:top w:val="single" w:sz="10" w:space="0" w:color="0F6B68"/>
          <w:left w:val="single" w:sz="10" w:space="0" w:color="0F6B68"/>
          <w:bottom w:val="single" w:sz="10" w:space="0" w:color="0F6B68"/>
          <w:right w:val="single" w:sz="10" w:space="0" w:color="0F6B68"/>
        </w:tblBorders>
      </w:tblPr>
      <w:tblGrid>
        <w:gridCol w:w="5069"/>
      </w:tblGrid>
      <w:tr>
        <w:trPr>
          <w:cantSplit/>
        </w:trPr>
        <w:tc>
          <w:tcPr>
            <w:tcW w:type="dxa" w:w="5069"/>
            <w:vAlign w:val="center"/>
            <w:shd w:fill="DDEFEA"/>
            <w:tcMar>
              <w:top w:w="90" w:type="dxa"/>
              <w:start w:w="140" w:type="dxa"/>
              <w:bottom w:w="90" w:type="dxa"/>
              <w:end w:w="140" w:type="dxa"/>
            </w:tcMar>
          </w:tcPr>
          <w:p>
            <w:pPr>
              <w:keepLines/>
              <w:spacing w:after="0"/>
            </w:pPr>
            <w:r>
              <w:rPr>
                <w:rFonts w:ascii="Aptos" w:hAnsi="Aptos"/>
                <w:b/>
                <w:color w:val="0F6B68"/>
                <w:sz w:val="24"/>
              </w:rPr>
              <w:t xml:space="preserve">CONCLUSION  </w:t>
            </w:r>
            <w:r>
              <w:rPr>
                <w:rFonts w:ascii="Aptos" w:hAnsi="Aptos"/>
                <w:color w:val="22313A"/>
                <w:sz w:val="24"/>
              </w:rPr>
              <w:t>Wilson transformed her mother’s loss of choice into a model showing that assistance can protect freedom instead of extinguishing it.</w:t>
            </w:r>
          </w:p>
        </w:tc>
      </w:tr>
    </w:tbl>
    <w:p>
      <w:pPr>
        <w:widowControl/>
        <w:spacing w:after="0" w:before="0"/>
      </w:pPr>
    </w:p>
    <w:p>
      <w:pPr>
        <w:pStyle w:val="Heading1"/>
        <w:keepNext/>
        <w:keepLines/>
        <w:widowControl/>
      </w:pPr>
      <w:r>
        <w:t>Book Club Discussion Questions</w:t>
      </w:r>
    </w:p>
    <w:p>
      <w:pPr>
        <w:keepLines/>
        <w:widowControl/>
        <w:numPr>
          <w:ilvl w:val="0"/>
          <w:numId w:val="11"/>
        </w:numPr>
        <w:spacing w:after="40"/>
        <w:ind w:left="540" w:hanging="271"/>
      </w:pPr>
      <w:r>
        <w:rPr>
          <w:rFonts w:ascii="Aptos" w:hAnsi="Aptos"/>
          <w:color w:val="22313A"/>
          <w:sz w:val="24"/>
        </w:rPr>
        <w:t>Is some loss of safety an acceptable price for preserving autonomy? Who should decide?</w:t>
      </w:r>
    </w:p>
    <w:p>
      <w:pPr>
        <w:keepLines/>
        <w:widowControl/>
        <w:numPr>
          <w:ilvl w:val="0"/>
          <w:numId w:val="11"/>
        </w:numPr>
        <w:spacing w:after="40"/>
        <w:ind w:left="540" w:hanging="271"/>
      </w:pPr>
      <w:r>
        <w:rPr>
          <w:rFonts w:ascii="Aptos" w:hAnsi="Aptos"/>
          <w:color w:val="22313A"/>
          <w:sz w:val="24"/>
        </w:rPr>
        <w:t>Does “assisted living” describe a building, a set of services, or a moral philosophy?</w:t>
      </w:r>
    </w:p>
    <w:p>
      <w:pPr>
        <w:pStyle w:val="Heading1"/>
        <w:keepNext/>
        <w:keepLines/>
        <w:widowControl/>
      </w:pPr>
      <w:r>
        <w:t>Selected Sources</w:t>
      </w:r>
    </w:p>
    <w:p>
      <w:pPr>
        <w:widowControl/>
        <w:spacing w:after="0"/>
      </w:pPr>
      <w:r>
        <w:rPr>
          <w:rFonts w:ascii="Aptos" w:hAnsi="Aptos"/>
          <w:color w:val="22313A"/>
          <w:sz w:val="24"/>
        </w:rPr>
        <w:t>Gawande, Being Mortal, Chapter 4: “Assistance.”</w:t>
      </w:r>
      <w:r>
        <w:rPr>
          <w:rFonts w:ascii="Aptos" w:hAnsi="Aptos"/>
          <w:color w:val="5D6A70"/>
          <w:sz w:val="24"/>
        </w:rPr>
        <w:t xml:space="preserve">  •  </w:t>
      </w:r>
      <w:hyperlink r:id="rId23">
        <w:r>
          <w:rPr>
            <w:rFonts w:ascii="Aptos" w:hAnsi="Aptos"/>
            <w:color w:val="0F6B68"/>
            <w:u w:val="single"/>
            <w:sz w:val="24"/>
            <w:szCs w:val="24"/>
          </w:rPr>
          <w:t>Portland Business Journal profile (2018).</w:t>
        </w:r>
      </w:hyperlink>
      <w:r>
        <w:rPr>
          <w:rFonts w:ascii="Aptos" w:hAnsi="Aptos"/>
          <w:color w:val="5D6A70"/>
          <w:sz w:val="24"/>
        </w:rPr>
        <w:t xml:space="preserve">  •  </w:t>
      </w:r>
      <w:hyperlink r:id="rId24">
        <w:r>
          <w:rPr>
            <w:rFonts w:ascii="Aptos" w:hAnsi="Aptos"/>
            <w:color w:val="0F6B68"/>
            <w:u w:val="single"/>
            <w:sz w:val="24"/>
            <w:szCs w:val="24"/>
          </w:rPr>
          <w:t>West Virginia Public Broadcasting profile (2015).</w:t>
        </w:r>
      </w:hyperlink>
      <w:r>
        <w:rPr>
          <w:rFonts w:ascii="Aptos" w:hAnsi="Aptos"/>
          <w:color w:val="5D6A70"/>
          <w:sz w:val="24"/>
        </w:rPr>
        <w:t xml:space="preserve">  •  </w:t>
      </w:r>
      <w:hyperlink r:id="rId25">
        <w:r>
          <w:rPr>
            <w:rFonts w:ascii="Aptos" w:hAnsi="Aptos"/>
            <w:color w:val="0F6B68"/>
            <w:u w:val="single"/>
            <w:sz w:val="24"/>
            <w:szCs w:val="24"/>
          </w:rPr>
          <w:t>Wilson, “Historical Evolution of Assisted Living” (2007).</w:t>
        </w:r>
      </w:hyperlink>
    </w:p>
    <w:p>
      <w:pPr>
        <w:widowControl/>
        <w:sectPr>
          <w:pgSz w:w="12240" w:h="15840"/>
          <w:pgMar w:top="835" w:right="835" w:bottom="835" w:left="835" w:header="360" w:footer="403" w:gutter="0"/>
          <w:cols w:space="432" w:num="2" w:equalWidth="1"/>
          <w:docGrid w:linePitch="360"/>
        </w:sectPr>
      </w:pPr>
    </w:p>
    <w:p>
      <w:pPr>
        <w:pStyle w:val="Heading1"/>
        <w:keepNext/>
        <w:keepLines/>
        <w:widowControl/>
      </w:pPr>
      <w:r>
        <w:t>Three Things to Remember</w:t>
      </w:r>
    </w:p>
    <w:tbl>
      <w:tblPr>
        <w:tblW w:type="dxa" w:w="10569"/>
        <w:jc w:val="center"/>
        <w:tblLayout w:type="fixed"/>
        <w:tblLook w:firstColumn="1" w:firstRow="1" w:lastColumn="0" w:lastRow="0" w:noHBand="0" w:noVBand="1" w:val="04A0"/>
        <w:tblInd w:w="0" w:type="dxa"/>
        <w:tblBorders>
          <w:top w:val="single" w:sz="10" w:space="0" w:color="0F6B68"/>
          <w:left w:val="single" w:sz="10" w:space="0" w:color="0F6B68"/>
          <w:bottom w:val="single" w:sz="10" w:space="0" w:color="0F6B68"/>
          <w:right w:val="single" w:sz="10" w:space="0" w:color="0F6B68"/>
          <w:insideH w:val="single" w:sz="10" w:space="0" w:color="0F6B68"/>
          <w:insideV w:val="single" w:sz="10" w:space="0" w:color="0F6B68"/>
        </w:tblBorders>
      </w:tblPr>
      <w:tblGrid>
        <w:gridCol w:w="3523"/>
        <w:gridCol w:w="3523"/>
        <w:gridCol w:w="3523"/>
      </w:tblGrid>
      <w:tr>
        <w:tc>
          <w:tcPr>
            <w:tcW w:type="dxa" w:w="3523"/>
            <w:shd w:fill="F8E5DE"/>
            <w:tcMar>
              <w:top w:w="130" w:type="dxa"/>
              <w:start w:w="135" w:type="dxa"/>
              <w:bottom w:w="130" w:type="dxa"/>
              <w:end w:w="135" w:type="dxa"/>
            </w:tcMar>
            <w:vAlign w:val="center"/>
          </w:tcPr>
          <w:p>
            <w:pPr>
              <w:spacing w:after="60"/>
              <w:jc w:val="left"/>
            </w:pPr>
            <w:r>
              <w:rPr>
                <w:rFonts w:ascii="Aptos" w:hAnsi="Aptos"/>
                <w:b/>
                <w:color w:val="B64E3A"/>
                <w:sz w:val="24"/>
              </w:rPr>
              <w:t>1  ORIGIN</w:t>
            </w:r>
          </w:p>
          <w:p>
            <w:pPr>
              <w:spacing w:after="0"/>
            </w:pPr>
            <w:r>
              <w:rPr>
                <w:rFonts w:ascii="Aptos" w:hAnsi="Aptos"/>
                <w:color w:val="22313A"/>
                <w:sz w:val="24"/>
              </w:rPr>
              <w:t>Jessie’s nursing-home experience turned a family injustice into Wilson’s life work.</w:t>
            </w:r>
          </w:p>
        </w:tc>
        <w:tc>
          <w:tcPr>
            <w:tcW w:type="dxa" w:w="3523"/>
            <w:shd w:fill="DDEFEA"/>
            <w:tcMar>
              <w:top w:w="130" w:type="dxa"/>
              <w:start w:w="135" w:type="dxa"/>
              <w:bottom w:w="130" w:type="dxa"/>
              <w:end w:w="135" w:type="dxa"/>
            </w:tcMar>
            <w:vAlign w:val="center"/>
          </w:tcPr>
          <w:p>
            <w:pPr>
              <w:spacing w:after="60"/>
              <w:jc w:val="left"/>
            </w:pPr>
            <w:r>
              <w:rPr>
                <w:rFonts w:ascii="Aptos" w:hAnsi="Aptos"/>
                <w:b/>
                <w:color w:val="0F6B68"/>
                <w:sz w:val="24"/>
              </w:rPr>
              <w:t>2  MODEL</w:t>
            </w:r>
          </w:p>
          <w:p>
            <w:pPr>
              <w:spacing w:after="0"/>
            </w:pPr>
            <w:r>
              <w:rPr>
                <w:rFonts w:ascii="Aptos" w:hAnsi="Aptos"/>
                <w:color w:val="22313A"/>
                <w:sz w:val="24"/>
              </w:rPr>
              <w:t>Park Place combined private homes, flexible assistance, choice, and negotiated risk.</w:t>
            </w:r>
          </w:p>
        </w:tc>
        <w:tc>
          <w:tcPr>
            <w:tcW w:type="dxa" w:w="3523"/>
            <w:shd w:fill="FFF2CC"/>
            <w:tcMar>
              <w:top w:w="130" w:type="dxa"/>
              <w:start w:w="135" w:type="dxa"/>
              <w:bottom w:w="130" w:type="dxa"/>
              <w:end w:w="135" w:type="dxa"/>
            </w:tcMar>
            <w:vAlign w:val="center"/>
          </w:tcPr>
          <w:p>
            <w:pPr>
              <w:spacing w:after="60"/>
              <w:jc w:val="left"/>
            </w:pPr>
            <w:r>
              <w:rPr>
                <w:rFonts w:ascii="Aptos" w:hAnsi="Aptos"/>
                <w:b/>
                <w:color w:val="C99A2E"/>
                <w:sz w:val="24"/>
              </w:rPr>
              <w:t>3  STANDARD</w:t>
            </w:r>
          </w:p>
          <w:p>
            <w:pPr>
              <w:spacing w:after="0"/>
            </w:pPr>
            <w:r>
              <w:rPr>
                <w:rFonts w:ascii="Aptos" w:hAnsi="Aptos"/>
                <w:color w:val="22313A"/>
                <w:sz w:val="24"/>
              </w:rPr>
              <w:t>Judge care by the agency and meaningful life it permits—not safety alone.</w:t>
            </w:r>
          </w:p>
        </w:tc>
      </w:tr>
    </w:tbl>
    <w:sectPr w:rsidR="00FC693F" w:rsidRPr="0006063C" w:rsidSect="00034616">
      <w:footerReference w:type="default" r:id="rId26"/>
      <w:footerReference w:type="first" r:id="rId27"/>
      <w:footerReference w:type="even" r:id="rId28"/>
      <w:type w:val="continuous"/>
      <w:pgSz w:w="12240" w:h="15840"/>
      <w:pgMar w:top="835" w:right="835" w:bottom="835" w:left="835" w:header="360" w:footer="403" w:gutter="0"/>
      <w:cols w:space="432" w:num="1"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0569"/>
      <w:jc w:val="center"/>
      <w:tblLayout w:type="fixed"/>
      <w:tblLook w:firstColumn="1" w:firstRow="1" w:lastColumn="0" w:lastRow="0" w:noHBand="0" w:noVBand="1" w:val="04A0"/>
      <w:tblInd w:w="0" w:type="dxa"/>
      <w:tblBorders/>
    </w:tblPr>
    <w:tblGrid>
      <w:gridCol w:w="8244"/>
      <w:gridCol w:w="2325"/>
    </w:tblGrid>
    <w:tr>
      <w:tc>
        <w:tcPr>
          <w:tcW w:type="dxa" w:w="8244"/>
          <w:tcMar>
            <w:top w:w="0" w:type="dxa"/>
            <w:start w:w="0" w:type="dxa"/>
            <w:bottom w:w="0" w:type="dxa"/>
            <w:end w:w="0" w:type="dxa"/>
          </w:tcMar>
        </w:tcPr>
        <w:p>
          <w:pPr>
            <w:spacing w:after="0"/>
            <w:jc w:val="left"/>
          </w:pPr>
          <w:r>
            <w:rPr>
              <w:rFonts w:ascii="Aptos" w:hAnsi="Aptos"/>
              <w:color w:val="5D6A70"/>
              <w:sz w:val="19"/>
            </w:rPr>
            <w:t>Keren_Brown_Wilson_Birth_of_Assisted_Living_Being_Mortal.docx</w:t>
          </w:r>
        </w:p>
      </w:tc>
      <w:tc>
        <w:tcPr>
          <w:tcW w:type="dxa" w:w="2325"/>
          <w:tcMar>
            <w:top w:w="0" w:type="dxa"/>
            <w:start w:w="0" w:type="dxa"/>
            <w:bottom w:w="0" w:type="dxa"/>
            <w:end w:w="0" w:type="dxa"/>
          </w:tcMar>
        </w:tcPr>
        <w:p>
          <w:pPr>
            <w:spacing w:after="0"/>
            <w:jc w:val="right"/>
          </w:pPr>
          <w:r>
            <w:rPr>
              <w:rFonts w:ascii="Aptos" w:hAnsi="Aptos"/>
              <w:color w:val="5D6A70"/>
              <w:sz w:val="20"/>
            </w:rPr>
            <w:fldChar w:fldCharType="begin"/>
            <w:instrText xml:space="preserve"> PAGE </w:instrText>
            <w:fldChar w:fldCharType="separate"/>
            <w:t>1</w:t>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0569"/>
      <w:jc w:val="center"/>
      <w:tblLayout w:type="fixed"/>
      <w:tblLook w:firstColumn="1" w:firstRow="1" w:lastColumn="0" w:lastRow="0" w:noHBand="0" w:noVBand="1" w:val="04A0"/>
      <w:tblInd w:w="0" w:type="dxa"/>
      <w:tblBorders/>
    </w:tblPr>
    <w:tblGrid>
      <w:gridCol w:w="8244"/>
      <w:gridCol w:w="2325"/>
    </w:tblGrid>
    <w:tr>
      <w:tc>
        <w:tcPr>
          <w:tcW w:type="dxa" w:w="8244"/>
          <w:tcMar>
            <w:top w:w="0" w:type="dxa"/>
            <w:start w:w="0" w:type="dxa"/>
            <w:bottom w:w="0" w:type="dxa"/>
            <w:end w:w="0" w:type="dxa"/>
          </w:tcMar>
        </w:tcPr>
        <w:p>
          <w:pPr>
            <w:spacing w:after="0"/>
            <w:jc w:val="left"/>
          </w:pPr>
          <w:r>
            <w:rPr>
              <w:rFonts w:ascii="Aptos" w:hAnsi="Aptos"/>
              <w:color w:val="5D6A70"/>
              <w:sz w:val="19"/>
            </w:rPr>
            <w:t>Keren_Brown_Wilson_Birth_of_Assisted_Living_Being_Mortal.docx</w:t>
          </w:r>
        </w:p>
      </w:tc>
      <w:tc>
        <w:tcPr>
          <w:tcW w:type="dxa" w:w="2325"/>
          <w:tcMar>
            <w:top w:w="0" w:type="dxa"/>
            <w:start w:w="0" w:type="dxa"/>
            <w:bottom w:w="0" w:type="dxa"/>
            <w:end w:w="0" w:type="dxa"/>
          </w:tcMar>
        </w:tcPr>
        <w:p>
          <w:pPr>
            <w:spacing w:after="0"/>
            <w:jc w:val="right"/>
          </w:pPr>
          <w:r>
            <w:rPr>
              <w:rFonts w:ascii="Aptos" w:hAnsi="Aptos"/>
              <w:color w:val="5D6A70"/>
              <w:sz w:val="20"/>
            </w:rPr>
            <w:fldChar w:fldCharType="begin"/>
            <w:instrText xml:space="preserve"> PAGE </w:instrText>
            <w:fldChar w:fldCharType="separate"/>
            <w:t>1</w:t>
            <w:fldChar w:fldCharType="end"/>
          </w:r>
        </w:p>
      </w:tc>
    </w:tr>
  </w:tbl>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0569"/>
      <w:jc w:val="center"/>
      <w:tblLayout w:type="fixed"/>
      <w:tblLook w:firstColumn="1" w:firstRow="1" w:lastColumn="0" w:lastRow="0" w:noHBand="0" w:noVBand="1" w:val="04A0"/>
      <w:tblInd w:w="0" w:type="dxa"/>
      <w:tblBorders/>
    </w:tblPr>
    <w:tblGrid>
      <w:gridCol w:w="8244"/>
      <w:gridCol w:w="2325"/>
    </w:tblGrid>
    <w:tr>
      <w:tc>
        <w:tcPr>
          <w:tcW w:type="dxa" w:w="8244"/>
          <w:tcMar>
            <w:top w:w="0" w:type="dxa"/>
            <w:start w:w="0" w:type="dxa"/>
            <w:bottom w:w="0" w:type="dxa"/>
            <w:end w:w="0" w:type="dxa"/>
          </w:tcMar>
        </w:tcPr>
        <w:p>
          <w:pPr>
            <w:spacing w:after="0"/>
            <w:jc w:val="left"/>
          </w:pPr>
          <w:r>
            <w:rPr>
              <w:rFonts w:ascii="Aptos" w:hAnsi="Aptos"/>
              <w:color w:val="5D6A70"/>
              <w:sz w:val="19"/>
            </w:rPr>
            <w:t>Keren_Brown_Wilson_Birth_of_Assisted_Living_Being_Mortal.docx</w:t>
          </w:r>
        </w:p>
      </w:tc>
      <w:tc>
        <w:tcPr>
          <w:tcW w:type="dxa" w:w="2325"/>
          <w:tcMar>
            <w:top w:w="0" w:type="dxa"/>
            <w:start w:w="0" w:type="dxa"/>
            <w:bottom w:w="0" w:type="dxa"/>
            <w:end w:w="0" w:type="dxa"/>
          </w:tcMar>
        </w:tcPr>
        <w:p>
          <w:pPr>
            <w:spacing w:after="0"/>
            <w:jc w:val="right"/>
          </w:pPr>
          <w:r>
            <w:rPr>
              <w:rFonts w:ascii="Aptos" w:hAnsi="Aptos"/>
              <w:color w:val="5D6A70"/>
              <w:sz w:val="20"/>
            </w:rPr>
            <w:fldChar w:fldCharType="begin"/>
            <w:instrText xml:space="preserve"> PAGE </w:instrText>
            <w:fldChar w:fldCharType="separate"/>
            <w:t>1</w:t>
            <w:fldChar w:fldCharType="end"/>
          </w:r>
        </w:p>
      </w:tc>
    </w:tr>
  </w:tbl>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0569"/>
      <w:jc w:val="center"/>
      <w:tblLayout w:type="fixed"/>
      <w:tblLook w:firstColumn="1" w:firstRow="1" w:lastColumn="0" w:lastRow="0" w:noHBand="0" w:noVBand="1" w:val="04A0"/>
      <w:tblInd w:w="0" w:type="dxa"/>
      <w:tblBorders/>
    </w:tblPr>
    <w:tblGrid>
      <w:gridCol w:w="8244"/>
      <w:gridCol w:w="2325"/>
    </w:tblGrid>
    <w:tr>
      <w:tc>
        <w:tcPr>
          <w:tcW w:type="dxa" w:w="8244"/>
          <w:tcMar>
            <w:top w:w="0" w:type="dxa"/>
            <w:start w:w="0" w:type="dxa"/>
            <w:bottom w:w="0" w:type="dxa"/>
            <w:end w:w="0" w:type="dxa"/>
          </w:tcMar>
        </w:tcPr>
        <w:p>
          <w:pPr>
            <w:spacing w:after="0"/>
            <w:jc w:val="left"/>
          </w:pPr>
          <w:r>
            <w:rPr>
              <w:rFonts w:ascii="Aptos" w:hAnsi="Aptos"/>
              <w:color w:val="5D6A70"/>
              <w:sz w:val="19"/>
            </w:rPr>
            <w:t>Keren_Brown_Wilson_Birth_of_Assisted_Living_Being_Mortal.docx</w:t>
          </w:r>
        </w:p>
      </w:tc>
      <w:tc>
        <w:tcPr>
          <w:tcW w:type="dxa" w:w="2325"/>
          <w:tcMar>
            <w:top w:w="0" w:type="dxa"/>
            <w:start w:w="0" w:type="dxa"/>
            <w:bottom w:w="0" w:type="dxa"/>
            <w:end w:w="0" w:type="dxa"/>
          </w:tcMar>
        </w:tcPr>
        <w:p>
          <w:pPr>
            <w:spacing w:after="0"/>
            <w:jc w:val="right"/>
          </w:pPr>
          <w:r>
            <w:rPr>
              <w:rFonts w:ascii="Aptos" w:hAnsi="Aptos"/>
              <w:color w:val="5D6A70"/>
              <w:sz w:val="20"/>
            </w:rPr>
            <w:fldChar w:fldCharType="begin"/>
            <w:instrText xml:space="preserve"> PAGE </w:instrText>
            <w:fldChar w:fldCharType="separate"/>
            <w:t>1</w:t>
            <w:fldChar w:fldCharType="end"/>
          </w:r>
        </w:p>
      </w:tc>
    </w:tr>
  </w:tbl>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0569"/>
      <w:jc w:val="center"/>
      <w:tblLayout w:type="fixed"/>
      <w:tblLook w:firstColumn="1" w:firstRow="1" w:lastColumn="0" w:lastRow="0" w:noHBand="0" w:noVBand="1" w:val="04A0"/>
      <w:tblInd w:w="0" w:type="dxa"/>
      <w:tblBorders/>
    </w:tblPr>
    <w:tblGrid>
      <w:gridCol w:w="8244"/>
      <w:gridCol w:w="2325"/>
    </w:tblGrid>
    <w:tr>
      <w:tc>
        <w:tcPr>
          <w:tcW w:type="dxa" w:w="8244"/>
          <w:tcMar>
            <w:top w:w="0" w:type="dxa"/>
            <w:start w:w="0" w:type="dxa"/>
            <w:bottom w:w="0" w:type="dxa"/>
            <w:end w:w="0" w:type="dxa"/>
          </w:tcMar>
        </w:tcPr>
        <w:p>
          <w:pPr>
            <w:spacing w:after="0"/>
            <w:jc w:val="left"/>
          </w:pPr>
          <w:r>
            <w:rPr>
              <w:rFonts w:ascii="Aptos" w:hAnsi="Aptos"/>
              <w:color w:val="5D6A70"/>
              <w:sz w:val="19"/>
            </w:rPr>
            <w:t>Keren_Brown_Wilson_Birth_of_Assisted_Living_Being_Mortal.docx</w:t>
          </w:r>
        </w:p>
      </w:tc>
      <w:tc>
        <w:tcPr>
          <w:tcW w:type="dxa" w:w="2325"/>
          <w:tcMar>
            <w:top w:w="0" w:type="dxa"/>
            <w:start w:w="0" w:type="dxa"/>
            <w:bottom w:w="0" w:type="dxa"/>
            <w:end w:w="0" w:type="dxa"/>
          </w:tcMar>
        </w:tcPr>
        <w:p>
          <w:pPr>
            <w:spacing w:after="0"/>
            <w:jc w:val="right"/>
          </w:pPr>
          <w:r>
            <w:rPr>
              <w:rFonts w:ascii="Aptos" w:hAnsi="Aptos"/>
              <w:color w:val="5D6A70"/>
              <w:sz w:val="20"/>
            </w:rPr>
            <w:fldChar w:fldCharType="begin"/>
            <w:instrText xml:space="preserve"> PAGE </w:instrText>
            <w:fldChar w:fldCharType="separate"/>
            <w:t>1</w:t>
            <w:fldChar w:fldCharType="end"/>
          </w:r>
        </w:p>
      </w:tc>
    </w:tr>
  </w:tbl>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0569"/>
      <w:jc w:val="center"/>
      <w:tblLayout w:type="fixed"/>
      <w:tblLook w:firstColumn="1" w:firstRow="1" w:lastColumn="0" w:lastRow="0" w:noHBand="0" w:noVBand="1" w:val="04A0"/>
      <w:tblInd w:w="0" w:type="dxa"/>
      <w:tblBorders/>
    </w:tblPr>
    <w:tblGrid>
      <w:gridCol w:w="8244"/>
      <w:gridCol w:w="2325"/>
    </w:tblGrid>
    <w:tr>
      <w:tc>
        <w:tcPr>
          <w:tcW w:type="dxa" w:w="8244"/>
          <w:tcMar>
            <w:top w:w="0" w:type="dxa"/>
            <w:start w:w="0" w:type="dxa"/>
            <w:bottom w:w="0" w:type="dxa"/>
            <w:end w:w="0" w:type="dxa"/>
          </w:tcMar>
        </w:tcPr>
        <w:p>
          <w:pPr>
            <w:spacing w:after="0"/>
            <w:jc w:val="left"/>
          </w:pPr>
          <w:r>
            <w:rPr>
              <w:rFonts w:ascii="Aptos" w:hAnsi="Aptos"/>
              <w:color w:val="5D6A70"/>
              <w:sz w:val="19"/>
            </w:rPr>
            <w:t>Keren_Brown_Wilson_Birth_of_Assisted_Living_Being_Mortal.docx</w:t>
          </w:r>
        </w:p>
      </w:tc>
      <w:tc>
        <w:tcPr>
          <w:tcW w:type="dxa" w:w="2325"/>
          <w:tcMar>
            <w:top w:w="0" w:type="dxa"/>
            <w:start w:w="0" w:type="dxa"/>
            <w:bottom w:w="0" w:type="dxa"/>
            <w:end w:w="0" w:type="dxa"/>
          </w:tcMar>
        </w:tcPr>
        <w:p>
          <w:pPr>
            <w:spacing w:after="0"/>
            <w:jc w:val="right"/>
          </w:pPr>
          <w:r>
            <w:rPr>
              <w:rFonts w:ascii="Aptos" w:hAnsi="Aptos"/>
              <w:color w:val="5D6A70"/>
              <w:sz w:val="20"/>
            </w:rPr>
            <w:fldChar w:fldCharType="begin"/>
            <w:instrText xml:space="preserve"> PAGE </w:instrText>
            <w:fldChar w:fldCharType="separate"/>
            <w:t>1</w:t>
            <w:fldChar w:fldCharType="end"/>
          </w:r>
        </w:p>
      </w:tc>
    </w:tr>
  </w:tbl>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0569"/>
      <w:jc w:val="center"/>
      <w:tblLayout w:type="fixed"/>
      <w:tblLook w:firstColumn="1" w:firstRow="1" w:lastColumn="0" w:lastRow="0" w:noHBand="0" w:noVBand="1" w:val="04A0"/>
      <w:tblInd w:w="0" w:type="dxa"/>
      <w:tblBorders/>
    </w:tblPr>
    <w:tblGrid>
      <w:gridCol w:w="8244"/>
      <w:gridCol w:w="2325"/>
    </w:tblGrid>
    <w:tr>
      <w:tc>
        <w:tcPr>
          <w:tcW w:type="dxa" w:w="8244"/>
          <w:tcMar>
            <w:top w:w="0" w:type="dxa"/>
            <w:start w:w="0" w:type="dxa"/>
            <w:bottom w:w="0" w:type="dxa"/>
            <w:end w:w="0" w:type="dxa"/>
          </w:tcMar>
        </w:tcPr>
        <w:p>
          <w:pPr>
            <w:spacing w:after="0"/>
            <w:jc w:val="left"/>
          </w:pPr>
          <w:r>
            <w:rPr>
              <w:rFonts w:ascii="Aptos" w:hAnsi="Aptos"/>
              <w:color w:val="5D6A70"/>
              <w:sz w:val="19"/>
            </w:rPr>
            <w:t>Keren_Brown_Wilson_Birth_of_Assisted_Living_Being_Mortal.docx</w:t>
          </w:r>
        </w:p>
      </w:tc>
      <w:tc>
        <w:tcPr>
          <w:tcW w:type="dxa" w:w="2325"/>
          <w:tcMar>
            <w:top w:w="0" w:type="dxa"/>
            <w:start w:w="0" w:type="dxa"/>
            <w:bottom w:w="0" w:type="dxa"/>
            <w:end w:w="0" w:type="dxa"/>
          </w:tcMar>
        </w:tcPr>
        <w:p>
          <w:pPr>
            <w:spacing w:after="0"/>
            <w:jc w:val="right"/>
          </w:pPr>
          <w:r>
            <w:rPr>
              <w:rFonts w:ascii="Aptos" w:hAnsi="Aptos"/>
              <w:color w:val="5D6A70"/>
              <w:sz w:val="20"/>
            </w:rPr>
            <w:fldChar w:fldCharType="begin"/>
            <w:instrText xml:space="preserve"> PAGE </w:instrText>
            <w:fldChar w:fldCharType="separate"/>
            <w:t>1</w:t>
            <w:fldChar w:fldCharType="end"/>
          </w:r>
        </w:p>
      </w:tc>
    </w:tr>
  </w:tbl>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0569"/>
      <w:jc w:val="center"/>
      <w:tblLayout w:type="fixed"/>
      <w:tblLook w:firstColumn="1" w:firstRow="1" w:lastColumn="0" w:lastRow="0" w:noHBand="0" w:noVBand="1" w:val="04A0"/>
      <w:tblInd w:w="0" w:type="dxa"/>
      <w:tblBorders/>
    </w:tblPr>
    <w:tblGrid>
      <w:gridCol w:w="8244"/>
      <w:gridCol w:w="2325"/>
    </w:tblGrid>
    <w:tr>
      <w:tc>
        <w:tcPr>
          <w:tcW w:type="dxa" w:w="8244"/>
          <w:tcMar>
            <w:top w:w="0" w:type="dxa"/>
            <w:start w:w="0" w:type="dxa"/>
            <w:bottom w:w="0" w:type="dxa"/>
            <w:end w:w="0" w:type="dxa"/>
          </w:tcMar>
        </w:tcPr>
        <w:p>
          <w:pPr>
            <w:spacing w:after="0"/>
            <w:jc w:val="left"/>
          </w:pPr>
          <w:r>
            <w:rPr>
              <w:rFonts w:ascii="Aptos" w:hAnsi="Aptos"/>
              <w:color w:val="5D6A70"/>
              <w:sz w:val="19"/>
            </w:rPr>
            <w:t>Keren_Brown_Wilson_Birth_of_Assisted_Living_Being_Mortal.docx</w:t>
          </w:r>
        </w:p>
      </w:tc>
      <w:tc>
        <w:tcPr>
          <w:tcW w:type="dxa" w:w="2325"/>
          <w:tcMar>
            <w:top w:w="0" w:type="dxa"/>
            <w:start w:w="0" w:type="dxa"/>
            <w:bottom w:w="0" w:type="dxa"/>
            <w:end w:w="0" w:type="dxa"/>
          </w:tcMar>
        </w:tcPr>
        <w:p>
          <w:pPr>
            <w:spacing w:after="0"/>
            <w:jc w:val="right"/>
          </w:pPr>
          <w:r>
            <w:rPr>
              <w:rFonts w:ascii="Aptos" w:hAnsi="Aptos"/>
              <w:color w:val="5D6A70"/>
              <w:sz w:val="20"/>
            </w:rPr>
            <w:fldChar w:fldCharType="begin"/>
            <w:instrText xml:space="preserve"> PAGE </w:instrText>
            <w:fldChar w:fldCharType="separate"/>
            <w:t>1</w:t>
            <w:fldChar w:fldCharType="end"/>
          </w:r>
        </w:p>
      </w:tc>
    </w:tr>
  </w:tbl>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0569"/>
      <w:jc w:val="center"/>
      <w:tblLayout w:type="fixed"/>
      <w:tblLook w:firstColumn="1" w:firstRow="1" w:lastColumn="0" w:lastRow="0" w:noHBand="0" w:noVBand="1" w:val="04A0"/>
      <w:tblInd w:w="0" w:type="dxa"/>
      <w:tblBorders/>
    </w:tblPr>
    <w:tblGrid>
      <w:gridCol w:w="8244"/>
      <w:gridCol w:w="2325"/>
    </w:tblGrid>
    <w:tr>
      <w:tc>
        <w:tcPr>
          <w:tcW w:type="dxa" w:w="8244"/>
          <w:tcMar>
            <w:top w:w="0" w:type="dxa"/>
            <w:start w:w="0" w:type="dxa"/>
            <w:bottom w:w="0" w:type="dxa"/>
            <w:end w:w="0" w:type="dxa"/>
          </w:tcMar>
        </w:tcPr>
        <w:p>
          <w:pPr>
            <w:spacing w:after="0"/>
            <w:jc w:val="left"/>
          </w:pPr>
          <w:r>
            <w:rPr>
              <w:rFonts w:ascii="Aptos" w:hAnsi="Aptos"/>
              <w:color w:val="5D6A70"/>
              <w:sz w:val="19"/>
            </w:rPr>
            <w:t>Keren_Brown_Wilson_Birth_of_Assisted_Living_Being_Mortal.docx</w:t>
          </w:r>
        </w:p>
      </w:tc>
      <w:tc>
        <w:tcPr>
          <w:tcW w:type="dxa" w:w="2325"/>
          <w:tcMar>
            <w:top w:w="0" w:type="dxa"/>
            <w:start w:w="0" w:type="dxa"/>
            <w:bottom w:w="0" w:type="dxa"/>
            <w:end w:w="0" w:type="dxa"/>
          </w:tcMar>
        </w:tcPr>
        <w:p>
          <w:pPr>
            <w:spacing w:after="0"/>
            <w:jc w:val="right"/>
          </w:pPr>
          <w:r>
            <w:rPr>
              <w:rFonts w:ascii="Aptos" w:hAnsi="Aptos"/>
              <w:color w:val="5D6A70"/>
              <w:sz w:val="20"/>
            </w:rPr>
            <w:fldChar w:fldCharType="begin"/>
            <w:instrText xml:space="preserve"> PAGE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rPr>
        <w:rFonts w:ascii="Aptos" w:hAnsi="Aptos"/>
        <w:b/>
        <w:color w:val="0F6B68"/>
        <w:sz w:val="19"/>
      </w:rPr>
      <w:t>BEING MORTAL READING COMPANION  |  CHAPTER 4 SUPPLEMENT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rPr>
        <w:rFonts w:ascii="Aptos" w:hAnsi="Aptos"/>
        <w:b/>
        <w:color w:val="0F6B68"/>
        <w:sz w:val="19"/>
      </w:rPr>
      <w:t>BEING MORTAL READING COMPANION  |  CHAPTER 4 SUPPLEMENT</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rPr>
        <w:rFonts w:ascii="Aptos" w:hAnsi="Aptos"/>
        <w:b/>
        <w:color w:val="0F6B68"/>
        <w:sz w:val="19"/>
      </w:rPr>
      <w:t>BEING MORTAL READING COMPANION  |  CHAPTER 4 SUPPLEMENT</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rPr>
        <w:rFonts w:ascii="Aptos" w:hAnsi="Aptos"/>
        <w:b/>
        <w:color w:val="0F6B68"/>
        <w:sz w:val="19"/>
      </w:rPr>
      <w:t>BEING MORTAL READING COMPANION  |  CHAPTER 4 SUPPLEMENT</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rPr>
        <w:rFonts w:ascii="Aptos" w:hAnsi="Aptos"/>
        <w:b/>
        <w:color w:val="0F6B68"/>
        <w:sz w:val="19"/>
      </w:rPr>
      <w:t>BEING MORTAL READING COMPANION  |  CHAPTER 4 SUPPLEMENT</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rPr>
        <w:rFonts w:ascii="Aptos" w:hAnsi="Aptos"/>
        <w:b/>
        <w:color w:val="0F6B68"/>
        <w:sz w:val="19"/>
      </w:rPr>
      <w:t>BEING MORTAL READING COMPANION  |  CHAPTER 4 SUPPLEMENT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suff w:val="tab"/>
      <w:pPr>
        <w:tabs>
          <w:tab w:val="num" w:pos="540"/>
        </w:tabs>
        <w:ind w:left="540" w:hanging="270"/>
      </w:pPr>
      <w:rPr>
        <w:rFonts w:ascii="Aptos" w:hAnsi="Aptos"/>
        <w:sz w:val="24"/>
      </w:rPr>
    </w:lvl>
  </w:abstractNum>
  <w:num w:numId="10">
    <w:abstractNumId w:val="9"/>
  </w:num>
  <w:abstractNum w:abstractNumId="10">
    <w:multiLevelType w:val="singleLevel"/>
    <w:lvl w:ilvl="0">
      <w:start w:val="1"/>
      <w:numFmt w:val="decimal"/>
      <w:lvlText w:val="%1."/>
      <w:suff w:val="tab"/>
      <w:pPr>
        <w:tabs>
          <w:tab w:val="num" w:pos="540"/>
        </w:tabs>
        <w:ind w:left="540" w:hanging="270"/>
      </w:pPr>
      <w:rPr>
        <w:rFonts w:ascii="Aptos" w:hAnsi="Aptos"/>
        <w:sz w:val="24"/>
      </w:r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70" w:line="250" w:lineRule="auto"/>
    </w:pPr>
    <w:rPr>
      <w:rFonts w:ascii="Aptos" w:hAnsi="Aptos"/>
      <w:color w:val="22313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0F6B68"/>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Display" w:hAnsi="Aptos Display"/>
      <w:b/>
      <w:bCs/>
      <w:color w:val="B64E3A"/>
      <w:sz w:val="28"/>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Aptos Display" w:hAnsi="Aptos Display"/>
      <w:b/>
      <w:bCs/>
      <w:color w:val="173B45"/>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40" w:line="245" w:lineRule="auto"/>
      <w:ind w:left="490" w:hanging="259"/>
      <w:contextualSpacing/>
    </w:pPr>
    <w:rPr>
      <w:rFonts w:ascii="Aptos" w:hAnsi="Aptos"/>
      <w:color w:val="22313A"/>
      <w:sz w:val="24"/>
    </w:rPr>
  </w:style>
  <w:style w:type="paragraph" w:styleId="ListBullet2">
    <w:name w:val="List Bullet 2"/>
    <w:basedOn w:val="Normal"/>
    <w:uiPriority w:val="99"/>
    <w:unhideWhenUsed/>
    <w:rsid w:val="00326F90"/>
    <w:pPr>
      <w:numPr>
        <w:numId w:val="2"/>
      </w:numPr>
      <w:spacing w:before="0" w:after="40" w:line="245" w:lineRule="auto"/>
      <w:ind w:left="835" w:hanging="259"/>
      <w:contextualSpacing/>
    </w:pPr>
    <w:rPr>
      <w:rFonts w:ascii="Aptos" w:hAnsi="Aptos"/>
      <w:color w:val="22313A"/>
      <w:sz w:val="24"/>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40" w:line="245" w:lineRule="auto"/>
      <w:ind w:left="490" w:hanging="259"/>
      <w:contextualSpacing/>
    </w:pPr>
    <w:rPr>
      <w:rFonts w:ascii="Aptos" w:hAnsi="Aptos"/>
      <w:color w:val="22313A"/>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image" Target="media/image1.jpg"/><Relationship Id="rId16" Type="http://schemas.openxmlformats.org/officeDocument/2006/relationships/image" Target="media/image2.jpg"/><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header" Target="header6.xml"/><Relationship Id="rId20" Type="http://schemas.openxmlformats.org/officeDocument/2006/relationships/footer" Target="footer4.xml"/><Relationship Id="rId21" Type="http://schemas.openxmlformats.org/officeDocument/2006/relationships/footer" Target="footer5.xml"/><Relationship Id="rId22" Type="http://schemas.openxmlformats.org/officeDocument/2006/relationships/footer" Target="footer6.xml"/><Relationship Id="rId23" Type="http://schemas.openxmlformats.org/officeDocument/2006/relationships/hyperlink" Target="https://www.bizjournals.com/portland/news/2018/08/23/meet-the-oregon-pioneer-who-quietly-created-a-30b.html" TargetMode="External"/><Relationship Id="rId24" Type="http://schemas.openxmlformats.org/officeDocument/2006/relationships/hyperlink" Target="https://wvpublic.org/story/wvpb-news/inspired-by-her-mother-wv-woman-revolutionized-long-term-care-for-elderly/" TargetMode="External"/><Relationship Id="rId25" Type="http://schemas.openxmlformats.org/officeDocument/2006/relationships/hyperlink" Target="https://doi.org/10.1093/geront/47.Supplement_1.8" TargetMode="External"/><Relationship Id="rId26" Type="http://schemas.openxmlformats.org/officeDocument/2006/relationships/footer" Target="footer7.xml"/><Relationship Id="rId27" Type="http://schemas.openxmlformats.org/officeDocument/2006/relationships/footer" Target="footer8.xml"/><Relationship Id="rId2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Keren Brown Wilson and the Birth of Assisted Living</dc:title>
  <dc:subject>A Being Mortal Chapter 4 reading companion</dc:subject>
  <dc:creator>Book Club Reading Room</dc:creator>
  <cp:keywords>Keren Brown Wilson, assisted living, Being Mortal, Atul Gawande, agency, elder care</cp:keywords>
  <dc:description>generated by python-docx</dc:description>
  <cp:lastModifiedBy/>
  <cp:revision>1</cp:revision>
  <dcterms:created xsi:type="dcterms:W3CDTF">2013-12-23T23:15:00Z</dcterms:created>
  <dcterms:modified xsi:type="dcterms:W3CDTF">2013-12-23T23:15:00Z</dcterms:modified>
  <cp:category/>
</cp:coreProperties>
</file>